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5A3CA6" w14:paraId="6DED409C" w14:textId="77777777" w:rsidTr="005A3CA6">
        <w:trPr>
          <w:trHeight w:val="1979"/>
          <w:jc w:val="center"/>
        </w:trPr>
        <w:tc>
          <w:tcPr>
            <w:tcW w:w="8351" w:type="dxa"/>
            <w:shd w:val="clear" w:color="auto" w:fill="FBD4B4" w:themeFill="accent6" w:themeFillTint="66"/>
          </w:tcPr>
          <w:p w14:paraId="4F3AE2D4" w14:textId="77777777" w:rsidR="00EB6D75" w:rsidRDefault="00EB6D75" w:rsidP="00171FCF">
            <w:pPr>
              <w:pStyle w:val="Default"/>
              <w:spacing w:before="120" w:after="120"/>
              <w:jc w:val="center"/>
              <w:rPr>
                <w:rFonts w:ascii="Times New Roman" w:hAnsi="Times New Roman" w:cs="Times New Roman"/>
                <w:b/>
                <w:bCs/>
                <w:sz w:val="36"/>
                <w:szCs w:val="22"/>
              </w:rPr>
            </w:pPr>
            <w:r w:rsidRPr="00EB6D75">
              <w:rPr>
                <w:rFonts w:ascii="Times New Roman" w:hAnsi="Times New Roman" w:cs="Times New Roman"/>
                <w:b/>
                <w:bCs/>
                <w:sz w:val="36"/>
                <w:szCs w:val="22"/>
              </w:rPr>
              <w:t>Accommodation</w:t>
            </w:r>
            <w:r w:rsidR="005E265B">
              <w:t xml:space="preserve"> </w:t>
            </w:r>
            <w:r w:rsidR="005E265B" w:rsidRPr="005E265B">
              <w:rPr>
                <w:rFonts w:ascii="Times New Roman" w:hAnsi="Times New Roman" w:cs="Times New Roman"/>
                <w:b/>
                <w:bCs/>
                <w:sz w:val="36"/>
                <w:szCs w:val="22"/>
              </w:rPr>
              <w:t>Establishments</w:t>
            </w:r>
            <w:r w:rsidR="005E265B">
              <w:rPr>
                <w:rFonts w:ascii="Times New Roman" w:hAnsi="Times New Roman" w:cs="Times New Roman"/>
                <w:b/>
                <w:bCs/>
                <w:sz w:val="36"/>
                <w:szCs w:val="22"/>
              </w:rPr>
              <w:t xml:space="preserve"> </w:t>
            </w:r>
            <w:r w:rsidRPr="00EB6D75">
              <w:rPr>
                <w:rFonts w:ascii="Times New Roman" w:hAnsi="Times New Roman" w:cs="Times New Roman"/>
                <w:b/>
                <w:bCs/>
                <w:sz w:val="36"/>
                <w:szCs w:val="22"/>
              </w:rPr>
              <w:t xml:space="preserve">Survey </w:t>
            </w:r>
            <w:r w:rsidR="00634550">
              <w:rPr>
                <w:rFonts w:ascii="Times New Roman" w:hAnsi="Times New Roman" w:cs="Times New Roman"/>
                <w:b/>
                <w:bCs/>
                <w:sz w:val="36"/>
                <w:szCs w:val="22"/>
                <w:lang w:val="sq-AL"/>
              </w:rPr>
              <w:t>(tour_occ)</w:t>
            </w:r>
          </w:p>
          <w:p w14:paraId="211CB662" w14:textId="77777777" w:rsidR="00385435" w:rsidRPr="00692BA8" w:rsidRDefault="00385435" w:rsidP="00634550">
            <w:pPr>
              <w:pStyle w:val="Default"/>
              <w:jc w:val="center"/>
              <w:rPr>
                <w:rFonts w:ascii="Times New Roman" w:hAnsi="Times New Roman" w:cs="Times New Roman"/>
                <w:sz w:val="28"/>
              </w:rPr>
            </w:pPr>
            <w:r w:rsidRPr="00692BA8">
              <w:rPr>
                <w:rFonts w:ascii="Times New Roman" w:hAnsi="Times New Roman" w:cs="Times New Roman"/>
                <w:sz w:val="28"/>
              </w:rPr>
              <w:t>Reference Metadata in Euro SDMX Metadata Structure</w:t>
            </w:r>
          </w:p>
          <w:p w14:paraId="658D9F7F" w14:textId="77777777" w:rsidR="005A3CA6" w:rsidRPr="00692BA8" w:rsidRDefault="005A3CA6" w:rsidP="00634550">
            <w:pPr>
              <w:pStyle w:val="Default"/>
              <w:jc w:val="center"/>
              <w:rPr>
                <w:rFonts w:ascii="Times New Roman" w:hAnsi="Times New Roman" w:cs="Times New Roman"/>
                <w:sz w:val="28"/>
              </w:rPr>
            </w:pPr>
            <w:r w:rsidRPr="00692BA8">
              <w:rPr>
                <w:rFonts w:ascii="Times New Roman" w:hAnsi="Times New Roman" w:cs="Times New Roman"/>
                <w:sz w:val="28"/>
              </w:rPr>
              <w:t xml:space="preserve"> (ESMS)</w:t>
            </w:r>
          </w:p>
          <w:p w14:paraId="052CB96F" w14:textId="77777777" w:rsidR="005A3CA6" w:rsidRDefault="00634550" w:rsidP="00634550">
            <w:pPr>
              <w:pStyle w:val="Default"/>
              <w:jc w:val="center"/>
              <w:rPr>
                <w:rFonts w:ascii="Times New Roman" w:hAnsi="Times New Roman" w:cs="Times New Roman"/>
                <w:sz w:val="28"/>
              </w:rPr>
            </w:pPr>
            <w:r w:rsidRPr="00634550">
              <w:rPr>
                <w:rFonts w:ascii="Times New Roman" w:hAnsi="Times New Roman" w:cs="Times New Roman"/>
                <w:sz w:val="28"/>
              </w:rPr>
              <w:t xml:space="preserve">Compiling agency: </w:t>
            </w:r>
            <w:r w:rsidR="005A3CA6" w:rsidRPr="00634550">
              <w:rPr>
                <w:rFonts w:ascii="Times New Roman" w:hAnsi="Times New Roman" w:cs="Times New Roman"/>
                <w:sz w:val="28"/>
              </w:rPr>
              <w:t>INSTAT</w:t>
            </w:r>
          </w:p>
          <w:p w14:paraId="1FD29930" w14:textId="5F3F27DA" w:rsidR="00634550" w:rsidRPr="00634550" w:rsidRDefault="00634550" w:rsidP="00634550">
            <w:pPr>
              <w:pStyle w:val="Default"/>
              <w:jc w:val="center"/>
              <w:rPr>
                <w:rFonts w:ascii="Times New Roman" w:hAnsi="Times New Roman" w:cs="Times New Roman"/>
                <w:sz w:val="28"/>
              </w:rPr>
            </w:pPr>
            <w:r>
              <w:rPr>
                <w:rFonts w:ascii="Times New Roman" w:hAnsi="Times New Roman" w:cs="Times New Roman"/>
                <w:sz w:val="28"/>
              </w:rPr>
              <w:t>Time Dimension: 20</w:t>
            </w:r>
            <w:r w:rsidR="004B52A2">
              <w:rPr>
                <w:rFonts w:ascii="Times New Roman" w:hAnsi="Times New Roman" w:cs="Times New Roman"/>
                <w:sz w:val="28"/>
              </w:rPr>
              <w:t>20</w:t>
            </w:r>
            <w:r w:rsidRPr="00634550">
              <w:rPr>
                <w:rFonts w:ascii="Times New Roman" w:hAnsi="Times New Roman" w:cs="Times New Roman"/>
                <w:sz w:val="28"/>
              </w:rPr>
              <w:t>-A0</w:t>
            </w:r>
          </w:p>
          <w:p w14:paraId="6D4B9350" w14:textId="77777777" w:rsidR="00634550" w:rsidRPr="00634550" w:rsidRDefault="00634550" w:rsidP="00634550">
            <w:pPr>
              <w:pStyle w:val="Default"/>
              <w:jc w:val="center"/>
              <w:rPr>
                <w:rFonts w:ascii="Times New Roman" w:hAnsi="Times New Roman" w:cs="Times New Roman"/>
                <w:sz w:val="28"/>
              </w:rPr>
            </w:pPr>
            <w:r w:rsidRPr="00634550">
              <w:rPr>
                <w:rFonts w:ascii="Times New Roman" w:hAnsi="Times New Roman" w:cs="Times New Roman"/>
                <w:sz w:val="28"/>
              </w:rPr>
              <w:t xml:space="preserve">Data Provider: </w:t>
            </w:r>
            <w:r>
              <w:rPr>
                <w:rFonts w:ascii="Times New Roman" w:hAnsi="Times New Roman" w:cs="Times New Roman"/>
                <w:sz w:val="28"/>
              </w:rPr>
              <w:t>STS</w:t>
            </w:r>
          </w:p>
          <w:p w14:paraId="075F4BD8" w14:textId="77777777" w:rsidR="00634550" w:rsidRPr="00066D17" w:rsidRDefault="00634550" w:rsidP="00634550">
            <w:pPr>
              <w:pStyle w:val="Default"/>
              <w:jc w:val="center"/>
              <w:rPr>
                <w:rFonts w:ascii="Times New Roman" w:hAnsi="Times New Roman" w:cs="Times New Roman"/>
                <w:bCs/>
                <w:sz w:val="36"/>
                <w:lang w:val="sq-AL"/>
              </w:rPr>
            </w:pPr>
            <w:r w:rsidRPr="00634550">
              <w:rPr>
                <w:rFonts w:ascii="Times New Roman" w:hAnsi="Times New Roman" w:cs="Times New Roman"/>
                <w:sz w:val="28"/>
              </w:rPr>
              <w:t>Data Flow: TOUR_ESMSSP_A</w:t>
            </w:r>
          </w:p>
        </w:tc>
      </w:tr>
    </w:tbl>
    <w:p w14:paraId="41D481C7" w14:textId="77777777" w:rsidR="005A3CA6" w:rsidRDefault="005A3CA6"/>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108398B8" w14:textId="77777777" w:rsidR="006912E1" w:rsidRPr="00C33DB8" w:rsidRDefault="0071228F">
          <w:pPr>
            <w:pStyle w:val="TOCHeading"/>
            <w:rPr>
              <w:rFonts w:ascii="Times New Roman" w:hAnsi="Times New Roman" w:cs="Times New Roman"/>
              <w:sz w:val="24"/>
              <w:szCs w:val="24"/>
            </w:rPr>
          </w:pPr>
          <w:r w:rsidRPr="00C33DB8">
            <w:rPr>
              <w:rFonts w:ascii="Times New Roman" w:hAnsi="Times New Roman" w:cs="Times New Roman"/>
              <w:color w:val="000000" w:themeColor="text1"/>
              <w:szCs w:val="24"/>
            </w:rPr>
            <w:t>Reference Metadata</w:t>
          </w:r>
          <w:r w:rsidR="00661A83" w:rsidRPr="00C33DB8">
            <w:rPr>
              <w:rFonts w:ascii="Times New Roman" w:hAnsi="Times New Roman" w:cs="Times New Roman"/>
              <w:szCs w:val="24"/>
            </w:rPr>
            <w:t xml:space="preserve">   </w:t>
          </w:r>
        </w:p>
        <w:p w14:paraId="4AE2E2E5" w14:textId="77777777" w:rsidR="008036F9" w:rsidRDefault="00F20F69">
          <w:pPr>
            <w:pStyle w:val="TOC1"/>
            <w:tabs>
              <w:tab w:val="right" w:leader="dot" w:pos="10456"/>
            </w:tabs>
            <w:rPr>
              <w:noProof/>
            </w:rPr>
          </w:pPr>
          <w:r w:rsidRPr="00C33DB8">
            <w:rPr>
              <w:rFonts w:ascii="Times New Roman" w:hAnsi="Times New Roman" w:cs="Times New Roman"/>
              <w:sz w:val="24"/>
              <w:szCs w:val="24"/>
            </w:rPr>
            <w:fldChar w:fldCharType="begin"/>
          </w:r>
          <w:r w:rsidR="006912E1" w:rsidRPr="00C33DB8">
            <w:rPr>
              <w:rFonts w:ascii="Times New Roman" w:hAnsi="Times New Roman" w:cs="Times New Roman"/>
              <w:sz w:val="24"/>
              <w:szCs w:val="24"/>
            </w:rPr>
            <w:instrText xml:space="preserve"> TOC \o "1-3" \h \z \u </w:instrText>
          </w:r>
          <w:r w:rsidRPr="00C33DB8">
            <w:rPr>
              <w:rFonts w:ascii="Times New Roman" w:hAnsi="Times New Roman" w:cs="Times New Roman"/>
              <w:sz w:val="24"/>
              <w:szCs w:val="24"/>
            </w:rPr>
            <w:fldChar w:fldCharType="separate"/>
          </w:r>
          <w:hyperlink w:anchor="_Toc69202488" w:history="1">
            <w:r w:rsidR="008036F9" w:rsidRPr="002F534B">
              <w:rPr>
                <w:rStyle w:val="Hyperlink"/>
                <w:rFonts w:ascii="Times New Roman" w:eastAsia="Times New Roman" w:hAnsi="Times New Roman" w:cs="Times New Roman"/>
                <w:noProof/>
                <w:lang w:val="sq-AL" w:eastAsia="sq-AL"/>
              </w:rPr>
              <w:t>1. Contact</w:t>
            </w:r>
            <w:r w:rsidR="008036F9">
              <w:rPr>
                <w:noProof/>
                <w:webHidden/>
              </w:rPr>
              <w:tab/>
            </w:r>
            <w:r w:rsidR="008036F9">
              <w:rPr>
                <w:noProof/>
                <w:webHidden/>
              </w:rPr>
              <w:fldChar w:fldCharType="begin"/>
            </w:r>
            <w:r w:rsidR="008036F9">
              <w:rPr>
                <w:noProof/>
                <w:webHidden/>
              </w:rPr>
              <w:instrText xml:space="preserve"> PAGEREF _Toc69202488 \h </w:instrText>
            </w:r>
            <w:r w:rsidR="008036F9">
              <w:rPr>
                <w:noProof/>
                <w:webHidden/>
              </w:rPr>
            </w:r>
            <w:r w:rsidR="008036F9">
              <w:rPr>
                <w:noProof/>
                <w:webHidden/>
              </w:rPr>
              <w:fldChar w:fldCharType="separate"/>
            </w:r>
            <w:r w:rsidR="008036F9">
              <w:rPr>
                <w:noProof/>
                <w:webHidden/>
              </w:rPr>
              <w:t>2</w:t>
            </w:r>
            <w:r w:rsidR="008036F9">
              <w:rPr>
                <w:noProof/>
                <w:webHidden/>
              </w:rPr>
              <w:fldChar w:fldCharType="end"/>
            </w:r>
          </w:hyperlink>
        </w:p>
        <w:p w14:paraId="7D27549D" w14:textId="77777777" w:rsidR="008036F9" w:rsidRDefault="00D3798F">
          <w:pPr>
            <w:pStyle w:val="TOC1"/>
            <w:tabs>
              <w:tab w:val="right" w:leader="dot" w:pos="10456"/>
            </w:tabs>
            <w:rPr>
              <w:noProof/>
            </w:rPr>
          </w:pPr>
          <w:hyperlink w:anchor="_Toc69202489" w:history="1">
            <w:r w:rsidR="008036F9" w:rsidRPr="002F534B">
              <w:rPr>
                <w:rStyle w:val="Hyperlink"/>
                <w:rFonts w:ascii="Times New Roman" w:eastAsia="Times New Roman" w:hAnsi="Times New Roman" w:cs="Times New Roman"/>
                <w:noProof/>
                <w:lang w:val="sq-AL" w:eastAsia="sq-AL"/>
              </w:rPr>
              <w:t>2. Metadata update</w:t>
            </w:r>
            <w:r w:rsidR="008036F9">
              <w:rPr>
                <w:noProof/>
                <w:webHidden/>
              </w:rPr>
              <w:tab/>
            </w:r>
            <w:r w:rsidR="008036F9">
              <w:rPr>
                <w:noProof/>
                <w:webHidden/>
              </w:rPr>
              <w:fldChar w:fldCharType="begin"/>
            </w:r>
            <w:r w:rsidR="008036F9">
              <w:rPr>
                <w:noProof/>
                <w:webHidden/>
              </w:rPr>
              <w:instrText xml:space="preserve"> PAGEREF _Toc69202489 \h </w:instrText>
            </w:r>
            <w:r w:rsidR="008036F9">
              <w:rPr>
                <w:noProof/>
                <w:webHidden/>
              </w:rPr>
            </w:r>
            <w:r w:rsidR="008036F9">
              <w:rPr>
                <w:noProof/>
                <w:webHidden/>
              </w:rPr>
              <w:fldChar w:fldCharType="separate"/>
            </w:r>
            <w:r w:rsidR="008036F9">
              <w:rPr>
                <w:noProof/>
                <w:webHidden/>
              </w:rPr>
              <w:t>2</w:t>
            </w:r>
            <w:r w:rsidR="008036F9">
              <w:rPr>
                <w:noProof/>
                <w:webHidden/>
              </w:rPr>
              <w:fldChar w:fldCharType="end"/>
            </w:r>
          </w:hyperlink>
        </w:p>
        <w:p w14:paraId="68E5FAAD" w14:textId="77777777" w:rsidR="008036F9" w:rsidRDefault="00D3798F">
          <w:pPr>
            <w:pStyle w:val="TOC1"/>
            <w:tabs>
              <w:tab w:val="right" w:leader="dot" w:pos="10456"/>
            </w:tabs>
            <w:rPr>
              <w:noProof/>
            </w:rPr>
          </w:pPr>
          <w:hyperlink w:anchor="_Toc69202490" w:history="1">
            <w:r w:rsidR="008036F9" w:rsidRPr="002F534B">
              <w:rPr>
                <w:rStyle w:val="Hyperlink"/>
                <w:rFonts w:ascii="Times New Roman" w:eastAsia="Times New Roman" w:hAnsi="Times New Roman" w:cs="Times New Roman"/>
                <w:noProof/>
                <w:lang w:val="sq-AL" w:eastAsia="sq-AL"/>
              </w:rPr>
              <w:t>3. Statistical presentation</w:t>
            </w:r>
            <w:r w:rsidR="008036F9">
              <w:rPr>
                <w:noProof/>
                <w:webHidden/>
              </w:rPr>
              <w:tab/>
            </w:r>
            <w:r w:rsidR="008036F9">
              <w:rPr>
                <w:noProof/>
                <w:webHidden/>
              </w:rPr>
              <w:fldChar w:fldCharType="begin"/>
            </w:r>
            <w:r w:rsidR="008036F9">
              <w:rPr>
                <w:noProof/>
                <w:webHidden/>
              </w:rPr>
              <w:instrText xml:space="preserve"> PAGEREF _Toc69202490 \h </w:instrText>
            </w:r>
            <w:r w:rsidR="008036F9">
              <w:rPr>
                <w:noProof/>
                <w:webHidden/>
              </w:rPr>
            </w:r>
            <w:r w:rsidR="008036F9">
              <w:rPr>
                <w:noProof/>
                <w:webHidden/>
              </w:rPr>
              <w:fldChar w:fldCharType="separate"/>
            </w:r>
            <w:r w:rsidR="008036F9">
              <w:rPr>
                <w:noProof/>
                <w:webHidden/>
              </w:rPr>
              <w:t>2</w:t>
            </w:r>
            <w:r w:rsidR="008036F9">
              <w:rPr>
                <w:noProof/>
                <w:webHidden/>
              </w:rPr>
              <w:fldChar w:fldCharType="end"/>
            </w:r>
          </w:hyperlink>
        </w:p>
        <w:p w14:paraId="59CEB190" w14:textId="77777777" w:rsidR="008036F9" w:rsidRDefault="00D3798F">
          <w:pPr>
            <w:pStyle w:val="TOC1"/>
            <w:tabs>
              <w:tab w:val="right" w:leader="dot" w:pos="10456"/>
            </w:tabs>
            <w:rPr>
              <w:noProof/>
            </w:rPr>
          </w:pPr>
          <w:hyperlink w:anchor="_Toc69202491" w:history="1">
            <w:r w:rsidR="008036F9" w:rsidRPr="002F534B">
              <w:rPr>
                <w:rStyle w:val="Hyperlink"/>
                <w:rFonts w:ascii="Times New Roman" w:eastAsia="Times New Roman" w:hAnsi="Times New Roman" w:cs="Times New Roman"/>
                <w:noProof/>
                <w:lang w:val="sq-AL" w:eastAsia="sq-AL"/>
              </w:rPr>
              <w:t>4. Unit of measure</w:t>
            </w:r>
            <w:r w:rsidR="008036F9">
              <w:rPr>
                <w:noProof/>
                <w:webHidden/>
              </w:rPr>
              <w:tab/>
            </w:r>
            <w:r w:rsidR="008036F9">
              <w:rPr>
                <w:noProof/>
                <w:webHidden/>
              </w:rPr>
              <w:fldChar w:fldCharType="begin"/>
            </w:r>
            <w:r w:rsidR="008036F9">
              <w:rPr>
                <w:noProof/>
                <w:webHidden/>
              </w:rPr>
              <w:instrText xml:space="preserve"> PAGEREF _Toc69202491 \h </w:instrText>
            </w:r>
            <w:r w:rsidR="008036F9">
              <w:rPr>
                <w:noProof/>
                <w:webHidden/>
              </w:rPr>
            </w:r>
            <w:r w:rsidR="008036F9">
              <w:rPr>
                <w:noProof/>
                <w:webHidden/>
              </w:rPr>
              <w:fldChar w:fldCharType="separate"/>
            </w:r>
            <w:r w:rsidR="008036F9">
              <w:rPr>
                <w:noProof/>
                <w:webHidden/>
              </w:rPr>
              <w:t>5</w:t>
            </w:r>
            <w:r w:rsidR="008036F9">
              <w:rPr>
                <w:noProof/>
                <w:webHidden/>
              </w:rPr>
              <w:fldChar w:fldCharType="end"/>
            </w:r>
          </w:hyperlink>
        </w:p>
        <w:p w14:paraId="697EBEAC" w14:textId="77777777" w:rsidR="008036F9" w:rsidRDefault="00D3798F">
          <w:pPr>
            <w:pStyle w:val="TOC1"/>
            <w:tabs>
              <w:tab w:val="right" w:leader="dot" w:pos="10456"/>
            </w:tabs>
            <w:rPr>
              <w:noProof/>
            </w:rPr>
          </w:pPr>
          <w:hyperlink w:anchor="_Toc69202492" w:history="1">
            <w:r w:rsidR="008036F9" w:rsidRPr="002F534B">
              <w:rPr>
                <w:rStyle w:val="Hyperlink"/>
                <w:rFonts w:ascii="Times New Roman" w:eastAsia="Times New Roman" w:hAnsi="Times New Roman" w:cs="Times New Roman"/>
                <w:noProof/>
                <w:lang w:val="sq-AL" w:eastAsia="sq-AL"/>
              </w:rPr>
              <w:t>5. Reference period</w:t>
            </w:r>
            <w:r w:rsidR="008036F9">
              <w:rPr>
                <w:noProof/>
                <w:webHidden/>
              </w:rPr>
              <w:tab/>
            </w:r>
            <w:r w:rsidR="008036F9">
              <w:rPr>
                <w:noProof/>
                <w:webHidden/>
              </w:rPr>
              <w:fldChar w:fldCharType="begin"/>
            </w:r>
            <w:r w:rsidR="008036F9">
              <w:rPr>
                <w:noProof/>
                <w:webHidden/>
              </w:rPr>
              <w:instrText xml:space="preserve"> PAGEREF _Toc69202492 \h </w:instrText>
            </w:r>
            <w:r w:rsidR="008036F9">
              <w:rPr>
                <w:noProof/>
                <w:webHidden/>
              </w:rPr>
            </w:r>
            <w:r w:rsidR="008036F9">
              <w:rPr>
                <w:noProof/>
                <w:webHidden/>
              </w:rPr>
              <w:fldChar w:fldCharType="separate"/>
            </w:r>
            <w:r w:rsidR="008036F9">
              <w:rPr>
                <w:noProof/>
                <w:webHidden/>
              </w:rPr>
              <w:t>5</w:t>
            </w:r>
            <w:r w:rsidR="008036F9">
              <w:rPr>
                <w:noProof/>
                <w:webHidden/>
              </w:rPr>
              <w:fldChar w:fldCharType="end"/>
            </w:r>
          </w:hyperlink>
        </w:p>
        <w:p w14:paraId="3E65B2C3" w14:textId="77777777" w:rsidR="008036F9" w:rsidRDefault="00D3798F">
          <w:pPr>
            <w:pStyle w:val="TOC1"/>
            <w:tabs>
              <w:tab w:val="right" w:leader="dot" w:pos="10456"/>
            </w:tabs>
            <w:rPr>
              <w:noProof/>
            </w:rPr>
          </w:pPr>
          <w:hyperlink w:anchor="_Toc69202493" w:history="1">
            <w:r w:rsidR="008036F9" w:rsidRPr="002F534B">
              <w:rPr>
                <w:rStyle w:val="Hyperlink"/>
                <w:rFonts w:ascii="Times New Roman" w:eastAsia="Times New Roman" w:hAnsi="Times New Roman" w:cs="Times New Roman"/>
                <w:noProof/>
                <w:lang w:val="sq-AL" w:eastAsia="sq-AL"/>
              </w:rPr>
              <w:t>6. Institutional mandate</w:t>
            </w:r>
            <w:r w:rsidR="008036F9">
              <w:rPr>
                <w:noProof/>
                <w:webHidden/>
              </w:rPr>
              <w:tab/>
            </w:r>
            <w:r w:rsidR="008036F9">
              <w:rPr>
                <w:noProof/>
                <w:webHidden/>
              </w:rPr>
              <w:fldChar w:fldCharType="begin"/>
            </w:r>
            <w:r w:rsidR="008036F9">
              <w:rPr>
                <w:noProof/>
                <w:webHidden/>
              </w:rPr>
              <w:instrText xml:space="preserve"> PAGEREF _Toc69202493 \h </w:instrText>
            </w:r>
            <w:r w:rsidR="008036F9">
              <w:rPr>
                <w:noProof/>
                <w:webHidden/>
              </w:rPr>
            </w:r>
            <w:r w:rsidR="008036F9">
              <w:rPr>
                <w:noProof/>
                <w:webHidden/>
              </w:rPr>
              <w:fldChar w:fldCharType="separate"/>
            </w:r>
            <w:r w:rsidR="008036F9">
              <w:rPr>
                <w:noProof/>
                <w:webHidden/>
              </w:rPr>
              <w:t>5</w:t>
            </w:r>
            <w:r w:rsidR="008036F9">
              <w:rPr>
                <w:noProof/>
                <w:webHidden/>
              </w:rPr>
              <w:fldChar w:fldCharType="end"/>
            </w:r>
          </w:hyperlink>
        </w:p>
        <w:p w14:paraId="5E87BA5B" w14:textId="77777777" w:rsidR="008036F9" w:rsidRDefault="00D3798F">
          <w:pPr>
            <w:pStyle w:val="TOC1"/>
            <w:tabs>
              <w:tab w:val="right" w:leader="dot" w:pos="10456"/>
            </w:tabs>
            <w:rPr>
              <w:noProof/>
            </w:rPr>
          </w:pPr>
          <w:hyperlink w:anchor="_Toc69202494" w:history="1">
            <w:r w:rsidR="008036F9" w:rsidRPr="002F534B">
              <w:rPr>
                <w:rStyle w:val="Hyperlink"/>
                <w:rFonts w:ascii="Times New Roman" w:eastAsia="Times New Roman" w:hAnsi="Times New Roman" w:cs="Times New Roman"/>
                <w:noProof/>
                <w:lang w:val="sq-AL" w:eastAsia="sq-AL"/>
              </w:rPr>
              <w:t>7. Confidentiality</w:t>
            </w:r>
            <w:r w:rsidR="008036F9">
              <w:rPr>
                <w:noProof/>
                <w:webHidden/>
              </w:rPr>
              <w:tab/>
            </w:r>
            <w:r w:rsidR="008036F9">
              <w:rPr>
                <w:noProof/>
                <w:webHidden/>
              </w:rPr>
              <w:fldChar w:fldCharType="begin"/>
            </w:r>
            <w:r w:rsidR="008036F9">
              <w:rPr>
                <w:noProof/>
                <w:webHidden/>
              </w:rPr>
              <w:instrText xml:space="preserve"> PAGEREF _Toc69202494 \h </w:instrText>
            </w:r>
            <w:r w:rsidR="008036F9">
              <w:rPr>
                <w:noProof/>
                <w:webHidden/>
              </w:rPr>
            </w:r>
            <w:r w:rsidR="008036F9">
              <w:rPr>
                <w:noProof/>
                <w:webHidden/>
              </w:rPr>
              <w:fldChar w:fldCharType="separate"/>
            </w:r>
            <w:r w:rsidR="008036F9">
              <w:rPr>
                <w:noProof/>
                <w:webHidden/>
              </w:rPr>
              <w:t>5</w:t>
            </w:r>
            <w:r w:rsidR="008036F9">
              <w:rPr>
                <w:noProof/>
                <w:webHidden/>
              </w:rPr>
              <w:fldChar w:fldCharType="end"/>
            </w:r>
          </w:hyperlink>
        </w:p>
        <w:p w14:paraId="180514E5" w14:textId="77777777" w:rsidR="008036F9" w:rsidRDefault="00D3798F">
          <w:pPr>
            <w:pStyle w:val="TOC1"/>
            <w:tabs>
              <w:tab w:val="right" w:leader="dot" w:pos="10456"/>
            </w:tabs>
            <w:rPr>
              <w:noProof/>
            </w:rPr>
          </w:pPr>
          <w:hyperlink w:anchor="_Toc69202495" w:history="1">
            <w:r w:rsidR="008036F9" w:rsidRPr="002F534B">
              <w:rPr>
                <w:rStyle w:val="Hyperlink"/>
                <w:rFonts w:ascii="Times New Roman" w:eastAsia="Times New Roman" w:hAnsi="Times New Roman" w:cs="Times New Roman"/>
                <w:noProof/>
                <w:lang w:val="sq-AL" w:eastAsia="sq-AL"/>
              </w:rPr>
              <w:t>8. Release policy</w:t>
            </w:r>
            <w:r w:rsidR="008036F9">
              <w:rPr>
                <w:noProof/>
                <w:webHidden/>
              </w:rPr>
              <w:tab/>
            </w:r>
            <w:r w:rsidR="008036F9">
              <w:rPr>
                <w:noProof/>
                <w:webHidden/>
              </w:rPr>
              <w:fldChar w:fldCharType="begin"/>
            </w:r>
            <w:r w:rsidR="008036F9">
              <w:rPr>
                <w:noProof/>
                <w:webHidden/>
              </w:rPr>
              <w:instrText xml:space="preserve"> PAGEREF _Toc69202495 \h </w:instrText>
            </w:r>
            <w:r w:rsidR="008036F9">
              <w:rPr>
                <w:noProof/>
                <w:webHidden/>
              </w:rPr>
            </w:r>
            <w:r w:rsidR="008036F9">
              <w:rPr>
                <w:noProof/>
                <w:webHidden/>
              </w:rPr>
              <w:fldChar w:fldCharType="separate"/>
            </w:r>
            <w:r w:rsidR="008036F9">
              <w:rPr>
                <w:noProof/>
                <w:webHidden/>
              </w:rPr>
              <w:t>6</w:t>
            </w:r>
            <w:r w:rsidR="008036F9">
              <w:rPr>
                <w:noProof/>
                <w:webHidden/>
              </w:rPr>
              <w:fldChar w:fldCharType="end"/>
            </w:r>
          </w:hyperlink>
        </w:p>
        <w:p w14:paraId="15FF54E2" w14:textId="77777777" w:rsidR="008036F9" w:rsidRDefault="00D3798F">
          <w:pPr>
            <w:pStyle w:val="TOC1"/>
            <w:tabs>
              <w:tab w:val="right" w:leader="dot" w:pos="10456"/>
            </w:tabs>
            <w:rPr>
              <w:noProof/>
            </w:rPr>
          </w:pPr>
          <w:hyperlink w:anchor="_Toc69202496" w:history="1">
            <w:r w:rsidR="008036F9" w:rsidRPr="002F534B">
              <w:rPr>
                <w:rStyle w:val="Hyperlink"/>
                <w:rFonts w:ascii="Times New Roman" w:eastAsia="Times New Roman" w:hAnsi="Times New Roman" w:cs="Times New Roman"/>
                <w:noProof/>
                <w:lang w:val="sq-AL" w:eastAsia="sq-AL"/>
              </w:rPr>
              <w:t>9. Frequency of dissemination</w:t>
            </w:r>
            <w:r w:rsidR="008036F9">
              <w:rPr>
                <w:noProof/>
                <w:webHidden/>
              </w:rPr>
              <w:tab/>
            </w:r>
            <w:r w:rsidR="008036F9">
              <w:rPr>
                <w:noProof/>
                <w:webHidden/>
              </w:rPr>
              <w:fldChar w:fldCharType="begin"/>
            </w:r>
            <w:r w:rsidR="008036F9">
              <w:rPr>
                <w:noProof/>
                <w:webHidden/>
              </w:rPr>
              <w:instrText xml:space="preserve"> PAGEREF _Toc69202496 \h </w:instrText>
            </w:r>
            <w:r w:rsidR="008036F9">
              <w:rPr>
                <w:noProof/>
                <w:webHidden/>
              </w:rPr>
            </w:r>
            <w:r w:rsidR="008036F9">
              <w:rPr>
                <w:noProof/>
                <w:webHidden/>
              </w:rPr>
              <w:fldChar w:fldCharType="separate"/>
            </w:r>
            <w:r w:rsidR="008036F9">
              <w:rPr>
                <w:noProof/>
                <w:webHidden/>
              </w:rPr>
              <w:t>7</w:t>
            </w:r>
            <w:r w:rsidR="008036F9">
              <w:rPr>
                <w:noProof/>
                <w:webHidden/>
              </w:rPr>
              <w:fldChar w:fldCharType="end"/>
            </w:r>
          </w:hyperlink>
        </w:p>
        <w:p w14:paraId="7F6824B6" w14:textId="77777777" w:rsidR="008036F9" w:rsidRDefault="00D3798F">
          <w:pPr>
            <w:pStyle w:val="TOC1"/>
            <w:tabs>
              <w:tab w:val="right" w:leader="dot" w:pos="10456"/>
            </w:tabs>
            <w:rPr>
              <w:noProof/>
            </w:rPr>
          </w:pPr>
          <w:hyperlink w:anchor="_Toc69202497" w:history="1">
            <w:r w:rsidR="008036F9" w:rsidRPr="002F534B">
              <w:rPr>
                <w:rStyle w:val="Hyperlink"/>
                <w:rFonts w:ascii="Times New Roman" w:eastAsia="Times New Roman" w:hAnsi="Times New Roman" w:cs="Times New Roman"/>
                <w:noProof/>
                <w:lang w:val="sq-AL" w:eastAsia="sq-AL"/>
              </w:rPr>
              <w:t>10. Accessibility and clarity</w:t>
            </w:r>
            <w:r w:rsidR="008036F9">
              <w:rPr>
                <w:noProof/>
                <w:webHidden/>
              </w:rPr>
              <w:tab/>
            </w:r>
            <w:r w:rsidR="008036F9">
              <w:rPr>
                <w:noProof/>
                <w:webHidden/>
              </w:rPr>
              <w:fldChar w:fldCharType="begin"/>
            </w:r>
            <w:r w:rsidR="008036F9">
              <w:rPr>
                <w:noProof/>
                <w:webHidden/>
              </w:rPr>
              <w:instrText xml:space="preserve"> PAGEREF _Toc69202497 \h </w:instrText>
            </w:r>
            <w:r w:rsidR="008036F9">
              <w:rPr>
                <w:noProof/>
                <w:webHidden/>
              </w:rPr>
            </w:r>
            <w:r w:rsidR="008036F9">
              <w:rPr>
                <w:noProof/>
                <w:webHidden/>
              </w:rPr>
              <w:fldChar w:fldCharType="separate"/>
            </w:r>
            <w:r w:rsidR="008036F9">
              <w:rPr>
                <w:noProof/>
                <w:webHidden/>
              </w:rPr>
              <w:t>7</w:t>
            </w:r>
            <w:r w:rsidR="008036F9">
              <w:rPr>
                <w:noProof/>
                <w:webHidden/>
              </w:rPr>
              <w:fldChar w:fldCharType="end"/>
            </w:r>
          </w:hyperlink>
        </w:p>
        <w:p w14:paraId="59554650" w14:textId="77777777" w:rsidR="008036F9" w:rsidRDefault="00D3798F">
          <w:pPr>
            <w:pStyle w:val="TOC1"/>
            <w:tabs>
              <w:tab w:val="right" w:leader="dot" w:pos="10456"/>
            </w:tabs>
            <w:rPr>
              <w:noProof/>
            </w:rPr>
          </w:pPr>
          <w:hyperlink w:anchor="_Toc69202498" w:history="1">
            <w:r w:rsidR="008036F9" w:rsidRPr="002F534B">
              <w:rPr>
                <w:rStyle w:val="Hyperlink"/>
                <w:rFonts w:ascii="Times New Roman" w:eastAsia="Times New Roman" w:hAnsi="Times New Roman" w:cs="Times New Roman"/>
                <w:noProof/>
                <w:lang w:val="sq-AL" w:eastAsia="sq-AL"/>
              </w:rPr>
              <w:t>11. Quality managment</w:t>
            </w:r>
            <w:r w:rsidR="008036F9">
              <w:rPr>
                <w:noProof/>
                <w:webHidden/>
              </w:rPr>
              <w:tab/>
            </w:r>
            <w:r w:rsidR="008036F9">
              <w:rPr>
                <w:noProof/>
                <w:webHidden/>
              </w:rPr>
              <w:fldChar w:fldCharType="begin"/>
            </w:r>
            <w:r w:rsidR="008036F9">
              <w:rPr>
                <w:noProof/>
                <w:webHidden/>
              </w:rPr>
              <w:instrText xml:space="preserve"> PAGEREF _Toc69202498 \h </w:instrText>
            </w:r>
            <w:r w:rsidR="008036F9">
              <w:rPr>
                <w:noProof/>
                <w:webHidden/>
              </w:rPr>
            </w:r>
            <w:r w:rsidR="008036F9">
              <w:rPr>
                <w:noProof/>
                <w:webHidden/>
              </w:rPr>
              <w:fldChar w:fldCharType="separate"/>
            </w:r>
            <w:r w:rsidR="008036F9">
              <w:rPr>
                <w:noProof/>
                <w:webHidden/>
              </w:rPr>
              <w:t>7</w:t>
            </w:r>
            <w:r w:rsidR="008036F9">
              <w:rPr>
                <w:noProof/>
                <w:webHidden/>
              </w:rPr>
              <w:fldChar w:fldCharType="end"/>
            </w:r>
          </w:hyperlink>
        </w:p>
        <w:p w14:paraId="37774FFE" w14:textId="77777777" w:rsidR="008036F9" w:rsidRDefault="00D3798F">
          <w:pPr>
            <w:pStyle w:val="TOC1"/>
            <w:tabs>
              <w:tab w:val="right" w:leader="dot" w:pos="10456"/>
            </w:tabs>
            <w:rPr>
              <w:noProof/>
            </w:rPr>
          </w:pPr>
          <w:hyperlink w:anchor="_Toc69202499" w:history="1">
            <w:r w:rsidR="008036F9" w:rsidRPr="002F534B">
              <w:rPr>
                <w:rStyle w:val="Hyperlink"/>
                <w:rFonts w:ascii="Times New Roman" w:eastAsia="Times New Roman" w:hAnsi="Times New Roman" w:cs="Times New Roman"/>
                <w:noProof/>
                <w:lang w:val="sq-AL" w:eastAsia="sq-AL"/>
              </w:rPr>
              <w:t>12. Relevance</w:t>
            </w:r>
            <w:r w:rsidR="008036F9">
              <w:rPr>
                <w:noProof/>
                <w:webHidden/>
              </w:rPr>
              <w:tab/>
            </w:r>
            <w:r w:rsidR="008036F9">
              <w:rPr>
                <w:noProof/>
                <w:webHidden/>
              </w:rPr>
              <w:fldChar w:fldCharType="begin"/>
            </w:r>
            <w:r w:rsidR="008036F9">
              <w:rPr>
                <w:noProof/>
                <w:webHidden/>
              </w:rPr>
              <w:instrText xml:space="preserve"> PAGEREF _Toc69202499 \h </w:instrText>
            </w:r>
            <w:r w:rsidR="008036F9">
              <w:rPr>
                <w:noProof/>
                <w:webHidden/>
              </w:rPr>
            </w:r>
            <w:r w:rsidR="008036F9">
              <w:rPr>
                <w:noProof/>
                <w:webHidden/>
              </w:rPr>
              <w:fldChar w:fldCharType="separate"/>
            </w:r>
            <w:r w:rsidR="008036F9">
              <w:rPr>
                <w:noProof/>
                <w:webHidden/>
              </w:rPr>
              <w:t>8</w:t>
            </w:r>
            <w:r w:rsidR="008036F9">
              <w:rPr>
                <w:noProof/>
                <w:webHidden/>
              </w:rPr>
              <w:fldChar w:fldCharType="end"/>
            </w:r>
          </w:hyperlink>
        </w:p>
        <w:p w14:paraId="77449072" w14:textId="77777777" w:rsidR="008036F9" w:rsidRDefault="00D3798F">
          <w:pPr>
            <w:pStyle w:val="TOC1"/>
            <w:tabs>
              <w:tab w:val="right" w:leader="dot" w:pos="10456"/>
            </w:tabs>
            <w:rPr>
              <w:noProof/>
            </w:rPr>
          </w:pPr>
          <w:hyperlink w:anchor="_Toc69202500" w:history="1">
            <w:r w:rsidR="008036F9" w:rsidRPr="002F534B">
              <w:rPr>
                <w:rStyle w:val="Hyperlink"/>
                <w:rFonts w:ascii="Times New Roman" w:eastAsia="Times New Roman" w:hAnsi="Times New Roman" w:cs="Times New Roman"/>
                <w:noProof/>
                <w:lang w:val="sq-AL" w:eastAsia="sq-AL"/>
              </w:rPr>
              <w:t>13. Accuracy and reliability</w:t>
            </w:r>
            <w:r w:rsidR="008036F9">
              <w:rPr>
                <w:noProof/>
                <w:webHidden/>
              </w:rPr>
              <w:tab/>
            </w:r>
            <w:r w:rsidR="008036F9">
              <w:rPr>
                <w:noProof/>
                <w:webHidden/>
              </w:rPr>
              <w:fldChar w:fldCharType="begin"/>
            </w:r>
            <w:r w:rsidR="008036F9">
              <w:rPr>
                <w:noProof/>
                <w:webHidden/>
              </w:rPr>
              <w:instrText xml:space="preserve"> PAGEREF _Toc69202500 \h </w:instrText>
            </w:r>
            <w:r w:rsidR="008036F9">
              <w:rPr>
                <w:noProof/>
                <w:webHidden/>
              </w:rPr>
            </w:r>
            <w:r w:rsidR="008036F9">
              <w:rPr>
                <w:noProof/>
                <w:webHidden/>
              </w:rPr>
              <w:fldChar w:fldCharType="separate"/>
            </w:r>
            <w:r w:rsidR="008036F9">
              <w:rPr>
                <w:noProof/>
                <w:webHidden/>
              </w:rPr>
              <w:t>9</w:t>
            </w:r>
            <w:r w:rsidR="008036F9">
              <w:rPr>
                <w:noProof/>
                <w:webHidden/>
              </w:rPr>
              <w:fldChar w:fldCharType="end"/>
            </w:r>
          </w:hyperlink>
        </w:p>
        <w:p w14:paraId="1C666911" w14:textId="77777777" w:rsidR="008036F9" w:rsidRDefault="00D3798F">
          <w:pPr>
            <w:pStyle w:val="TOC1"/>
            <w:tabs>
              <w:tab w:val="right" w:leader="dot" w:pos="10456"/>
            </w:tabs>
            <w:rPr>
              <w:noProof/>
            </w:rPr>
          </w:pPr>
          <w:hyperlink w:anchor="_Toc69202501" w:history="1">
            <w:r w:rsidR="008036F9" w:rsidRPr="002F534B">
              <w:rPr>
                <w:rStyle w:val="Hyperlink"/>
                <w:rFonts w:ascii="Times New Roman" w:eastAsia="Times New Roman" w:hAnsi="Times New Roman" w:cs="Times New Roman"/>
                <w:noProof/>
                <w:lang w:val="sq-AL" w:eastAsia="sq-AL"/>
              </w:rPr>
              <w:t>14. Timeliness and punctuality</w:t>
            </w:r>
            <w:r w:rsidR="008036F9">
              <w:rPr>
                <w:noProof/>
                <w:webHidden/>
              </w:rPr>
              <w:tab/>
            </w:r>
            <w:r w:rsidR="008036F9">
              <w:rPr>
                <w:noProof/>
                <w:webHidden/>
              </w:rPr>
              <w:fldChar w:fldCharType="begin"/>
            </w:r>
            <w:r w:rsidR="008036F9">
              <w:rPr>
                <w:noProof/>
                <w:webHidden/>
              </w:rPr>
              <w:instrText xml:space="preserve"> PAGEREF _Toc69202501 \h </w:instrText>
            </w:r>
            <w:r w:rsidR="008036F9">
              <w:rPr>
                <w:noProof/>
                <w:webHidden/>
              </w:rPr>
            </w:r>
            <w:r w:rsidR="008036F9">
              <w:rPr>
                <w:noProof/>
                <w:webHidden/>
              </w:rPr>
              <w:fldChar w:fldCharType="separate"/>
            </w:r>
            <w:r w:rsidR="008036F9">
              <w:rPr>
                <w:noProof/>
                <w:webHidden/>
              </w:rPr>
              <w:t>10</w:t>
            </w:r>
            <w:r w:rsidR="008036F9">
              <w:rPr>
                <w:noProof/>
                <w:webHidden/>
              </w:rPr>
              <w:fldChar w:fldCharType="end"/>
            </w:r>
          </w:hyperlink>
        </w:p>
        <w:p w14:paraId="1FD96A33" w14:textId="77777777" w:rsidR="008036F9" w:rsidRDefault="00D3798F">
          <w:pPr>
            <w:pStyle w:val="TOC1"/>
            <w:tabs>
              <w:tab w:val="right" w:leader="dot" w:pos="10456"/>
            </w:tabs>
            <w:rPr>
              <w:noProof/>
            </w:rPr>
          </w:pPr>
          <w:hyperlink w:anchor="_Toc69202502" w:history="1">
            <w:r w:rsidR="008036F9" w:rsidRPr="002F534B">
              <w:rPr>
                <w:rStyle w:val="Hyperlink"/>
                <w:rFonts w:ascii="Times New Roman" w:eastAsia="Times New Roman" w:hAnsi="Times New Roman" w:cs="Times New Roman"/>
                <w:noProof/>
                <w:lang w:val="sq-AL" w:eastAsia="sq-AL"/>
              </w:rPr>
              <w:t>15. Coherence and comparability</w:t>
            </w:r>
            <w:r w:rsidR="008036F9">
              <w:rPr>
                <w:noProof/>
                <w:webHidden/>
              </w:rPr>
              <w:tab/>
            </w:r>
            <w:r w:rsidR="008036F9">
              <w:rPr>
                <w:noProof/>
                <w:webHidden/>
              </w:rPr>
              <w:fldChar w:fldCharType="begin"/>
            </w:r>
            <w:r w:rsidR="008036F9">
              <w:rPr>
                <w:noProof/>
                <w:webHidden/>
              </w:rPr>
              <w:instrText xml:space="preserve"> PAGEREF _Toc69202502 \h </w:instrText>
            </w:r>
            <w:r w:rsidR="008036F9">
              <w:rPr>
                <w:noProof/>
                <w:webHidden/>
              </w:rPr>
            </w:r>
            <w:r w:rsidR="008036F9">
              <w:rPr>
                <w:noProof/>
                <w:webHidden/>
              </w:rPr>
              <w:fldChar w:fldCharType="separate"/>
            </w:r>
            <w:r w:rsidR="008036F9">
              <w:rPr>
                <w:noProof/>
                <w:webHidden/>
              </w:rPr>
              <w:t>10</w:t>
            </w:r>
            <w:r w:rsidR="008036F9">
              <w:rPr>
                <w:noProof/>
                <w:webHidden/>
              </w:rPr>
              <w:fldChar w:fldCharType="end"/>
            </w:r>
          </w:hyperlink>
        </w:p>
        <w:p w14:paraId="72CBE2C4" w14:textId="77777777" w:rsidR="008036F9" w:rsidRDefault="00D3798F">
          <w:pPr>
            <w:pStyle w:val="TOC1"/>
            <w:tabs>
              <w:tab w:val="right" w:leader="dot" w:pos="10456"/>
            </w:tabs>
            <w:rPr>
              <w:noProof/>
            </w:rPr>
          </w:pPr>
          <w:hyperlink w:anchor="_Toc69202503" w:history="1">
            <w:r w:rsidR="008036F9" w:rsidRPr="002F534B">
              <w:rPr>
                <w:rStyle w:val="Hyperlink"/>
                <w:rFonts w:ascii="Times New Roman" w:eastAsia="Times New Roman" w:hAnsi="Times New Roman" w:cs="Times New Roman"/>
                <w:noProof/>
                <w:lang w:val="sq-AL" w:eastAsia="sq-AL"/>
              </w:rPr>
              <w:t>16. Cost and burden</w:t>
            </w:r>
            <w:r w:rsidR="008036F9">
              <w:rPr>
                <w:noProof/>
                <w:webHidden/>
              </w:rPr>
              <w:tab/>
            </w:r>
            <w:r w:rsidR="008036F9">
              <w:rPr>
                <w:noProof/>
                <w:webHidden/>
              </w:rPr>
              <w:fldChar w:fldCharType="begin"/>
            </w:r>
            <w:r w:rsidR="008036F9">
              <w:rPr>
                <w:noProof/>
                <w:webHidden/>
              </w:rPr>
              <w:instrText xml:space="preserve"> PAGEREF _Toc69202503 \h </w:instrText>
            </w:r>
            <w:r w:rsidR="008036F9">
              <w:rPr>
                <w:noProof/>
                <w:webHidden/>
              </w:rPr>
            </w:r>
            <w:r w:rsidR="008036F9">
              <w:rPr>
                <w:noProof/>
                <w:webHidden/>
              </w:rPr>
              <w:fldChar w:fldCharType="separate"/>
            </w:r>
            <w:r w:rsidR="008036F9">
              <w:rPr>
                <w:noProof/>
                <w:webHidden/>
              </w:rPr>
              <w:t>11</w:t>
            </w:r>
            <w:r w:rsidR="008036F9">
              <w:rPr>
                <w:noProof/>
                <w:webHidden/>
              </w:rPr>
              <w:fldChar w:fldCharType="end"/>
            </w:r>
          </w:hyperlink>
        </w:p>
        <w:p w14:paraId="12C77AE8" w14:textId="77777777" w:rsidR="008036F9" w:rsidRDefault="00D3798F">
          <w:pPr>
            <w:pStyle w:val="TOC1"/>
            <w:tabs>
              <w:tab w:val="right" w:leader="dot" w:pos="10456"/>
            </w:tabs>
            <w:rPr>
              <w:noProof/>
            </w:rPr>
          </w:pPr>
          <w:hyperlink w:anchor="_Toc69202504" w:history="1">
            <w:r w:rsidR="008036F9" w:rsidRPr="002F534B">
              <w:rPr>
                <w:rStyle w:val="Hyperlink"/>
                <w:rFonts w:ascii="Times New Roman" w:eastAsia="Times New Roman" w:hAnsi="Times New Roman" w:cs="Times New Roman"/>
                <w:noProof/>
                <w:lang w:val="sq-AL" w:eastAsia="sq-AL"/>
              </w:rPr>
              <w:t>17. Data revision</w:t>
            </w:r>
            <w:r w:rsidR="008036F9">
              <w:rPr>
                <w:noProof/>
                <w:webHidden/>
              </w:rPr>
              <w:tab/>
            </w:r>
            <w:r w:rsidR="008036F9">
              <w:rPr>
                <w:noProof/>
                <w:webHidden/>
              </w:rPr>
              <w:fldChar w:fldCharType="begin"/>
            </w:r>
            <w:r w:rsidR="008036F9">
              <w:rPr>
                <w:noProof/>
                <w:webHidden/>
              </w:rPr>
              <w:instrText xml:space="preserve"> PAGEREF _Toc69202504 \h </w:instrText>
            </w:r>
            <w:r w:rsidR="008036F9">
              <w:rPr>
                <w:noProof/>
                <w:webHidden/>
              </w:rPr>
            </w:r>
            <w:r w:rsidR="008036F9">
              <w:rPr>
                <w:noProof/>
                <w:webHidden/>
              </w:rPr>
              <w:fldChar w:fldCharType="separate"/>
            </w:r>
            <w:r w:rsidR="008036F9">
              <w:rPr>
                <w:noProof/>
                <w:webHidden/>
              </w:rPr>
              <w:t>11</w:t>
            </w:r>
            <w:r w:rsidR="008036F9">
              <w:rPr>
                <w:noProof/>
                <w:webHidden/>
              </w:rPr>
              <w:fldChar w:fldCharType="end"/>
            </w:r>
          </w:hyperlink>
        </w:p>
        <w:p w14:paraId="09C2D9F2" w14:textId="77777777" w:rsidR="008036F9" w:rsidRDefault="00D3798F">
          <w:pPr>
            <w:pStyle w:val="TOC1"/>
            <w:tabs>
              <w:tab w:val="right" w:leader="dot" w:pos="10456"/>
            </w:tabs>
            <w:rPr>
              <w:noProof/>
            </w:rPr>
          </w:pPr>
          <w:hyperlink w:anchor="_Toc69202505" w:history="1">
            <w:r w:rsidR="008036F9" w:rsidRPr="002F534B">
              <w:rPr>
                <w:rStyle w:val="Hyperlink"/>
                <w:rFonts w:ascii="Times New Roman" w:eastAsia="Times New Roman" w:hAnsi="Times New Roman" w:cs="Times New Roman"/>
                <w:noProof/>
                <w:lang w:val="sq-AL" w:eastAsia="sq-AL"/>
              </w:rPr>
              <w:t>18. Statistical processing</w:t>
            </w:r>
            <w:r w:rsidR="008036F9">
              <w:rPr>
                <w:noProof/>
                <w:webHidden/>
              </w:rPr>
              <w:tab/>
            </w:r>
            <w:r w:rsidR="008036F9">
              <w:rPr>
                <w:noProof/>
                <w:webHidden/>
              </w:rPr>
              <w:fldChar w:fldCharType="begin"/>
            </w:r>
            <w:r w:rsidR="008036F9">
              <w:rPr>
                <w:noProof/>
                <w:webHidden/>
              </w:rPr>
              <w:instrText xml:space="preserve"> PAGEREF _Toc69202505 \h </w:instrText>
            </w:r>
            <w:r w:rsidR="008036F9">
              <w:rPr>
                <w:noProof/>
                <w:webHidden/>
              </w:rPr>
            </w:r>
            <w:r w:rsidR="008036F9">
              <w:rPr>
                <w:noProof/>
                <w:webHidden/>
              </w:rPr>
              <w:fldChar w:fldCharType="separate"/>
            </w:r>
            <w:r w:rsidR="008036F9">
              <w:rPr>
                <w:noProof/>
                <w:webHidden/>
              </w:rPr>
              <w:t>12</w:t>
            </w:r>
            <w:r w:rsidR="008036F9">
              <w:rPr>
                <w:noProof/>
                <w:webHidden/>
              </w:rPr>
              <w:fldChar w:fldCharType="end"/>
            </w:r>
          </w:hyperlink>
        </w:p>
        <w:p w14:paraId="132FCD38" w14:textId="77777777" w:rsidR="008036F9" w:rsidRDefault="00D3798F">
          <w:pPr>
            <w:pStyle w:val="TOC1"/>
            <w:tabs>
              <w:tab w:val="right" w:leader="dot" w:pos="10456"/>
            </w:tabs>
            <w:rPr>
              <w:noProof/>
            </w:rPr>
          </w:pPr>
          <w:hyperlink w:anchor="_Toc69202506" w:history="1">
            <w:r w:rsidR="008036F9" w:rsidRPr="002F534B">
              <w:rPr>
                <w:rStyle w:val="Hyperlink"/>
                <w:rFonts w:ascii="Times New Roman" w:eastAsia="Times New Roman" w:hAnsi="Times New Roman" w:cs="Times New Roman"/>
                <w:noProof/>
                <w:lang w:val="sq-AL" w:eastAsia="sq-AL"/>
              </w:rPr>
              <w:t>19. Comment</w:t>
            </w:r>
            <w:r w:rsidR="008036F9">
              <w:rPr>
                <w:noProof/>
                <w:webHidden/>
              </w:rPr>
              <w:tab/>
            </w:r>
            <w:r w:rsidR="008036F9">
              <w:rPr>
                <w:noProof/>
                <w:webHidden/>
              </w:rPr>
              <w:fldChar w:fldCharType="begin"/>
            </w:r>
            <w:r w:rsidR="008036F9">
              <w:rPr>
                <w:noProof/>
                <w:webHidden/>
              </w:rPr>
              <w:instrText xml:space="preserve"> PAGEREF _Toc69202506 \h </w:instrText>
            </w:r>
            <w:r w:rsidR="008036F9">
              <w:rPr>
                <w:noProof/>
                <w:webHidden/>
              </w:rPr>
            </w:r>
            <w:r w:rsidR="008036F9">
              <w:rPr>
                <w:noProof/>
                <w:webHidden/>
              </w:rPr>
              <w:fldChar w:fldCharType="separate"/>
            </w:r>
            <w:r w:rsidR="008036F9">
              <w:rPr>
                <w:noProof/>
                <w:webHidden/>
              </w:rPr>
              <w:t>14</w:t>
            </w:r>
            <w:r w:rsidR="008036F9">
              <w:rPr>
                <w:noProof/>
                <w:webHidden/>
              </w:rPr>
              <w:fldChar w:fldCharType="end"/>
            </w:r>
          </w:hyperlink>
        </w:p>
        <w:p w14:paraId="2BE08894" w14:textId="77777777" w:rsidR="008036F9" w:rsidRDefault="00D3798F">
          <w:pPr>
            <w:pStyle w:val="TOC1"/>
            <w:tabs>
              <w:tab w:val="right" w:leader="dot" w:pos="10456"/>
            </w:tabs>
            <w:rPr>
              <w:noProof/>
            </w:rPr>
          </w:pPr>
          <w:hyperlink w:anchor="_Toc69202507" w:history="1">
            <w:r w:rsidR="008036F9" w:rsidRPr="002F534B">
              <w:rPr>
                <w:rStyle w:val="Hyperlink"/>
                <w:rFonts w:ascii="Times New Roman" w:eastAsia="Times New Roman" w:hAnsi="Times New Roman" w:cs="Times New Roman"/>
                <w:noProof/>
                <w:lang w:val="sq-AL" w:eastAsia="sq-AL"/>
              </w:rPr>
              <w:t>Annex</w:t>
            </w:r>
            <w:r w:rsidR="008036F9">
              <w:rPr>
                <w:noProof/>
                <w:webHidden/>
              </w:rPr>
              <w:tab/>
            </w:r>
            <w:r w:rsidR="008036F9">
              <w:rPr>
                <w:noProof/>
                <w:webHidden/>
              </w:rPr>
              <w:fldChar w:fldCharType="begin"/>
            </w:r>
            <w:r w:rsidR="008036F9">
              <w:rPr>
                <w:noProof/>
                <w:webHidden/>
              </w:rPr>
              <w:instrText xml:space="preserve"> PAGEREF _Toc69202507 \h </w:instrText>
            </w:r>
            <w:r w:rsidR="008036F9">
              <w:rPr>
                <w:noProof/>
                <w:webHidden/>
              </w:rPr>
            </w:r>
            <w:r w:rsidR="008036F9">
              <w:rPr>
                <w:noProof/>
                <w:webHidden/>
              </w:rPr>
              <w:fldChar w:fldCharType="separate"/>
            </w:r>
            <w:r w:rsidR="008036F9">
              <w:rPr>
                <w:noProof/>
                <w:webHidden/>
              </w:rPr>
              <w:t>14</w:t>
            </w:r>
            <w:r w:rsidR="008036F9">
              <w:rPr>
                <w:noProof/>
                <w:webHidden/>
              </w:rPr>
              <w:fldChar w:fldCharType="end"/>
            </w:r>
          </w:hyperlink>
        </w:p>
        <w:p w14:paraId="706702C2" w14:textId="77777777" w:rsidR="006912E1" w:rsidRDefault="00F20F69" w:rsidP="0031511A">
          <w:pPr>
            <w:pStyle w:val="TOC1"/>
            <w:tabs>
              <w:tab w:val="right" w:leader="dot" w:pos="10456"/>
            </w:tabs>
          </w:pPr>
          <w:r w:rsidRPr="00C33DB8">
            <w:rPr>
              <w:rFonts w:ascii="Times New Roman" w:hAnsi="Times New Roman" w:cs="Times New Roman"/>
              <w:sz w:val="24"/>
              <w:szCs w:val="24"/>
            </w:rPr>
            <w:fldChar w:fldCharType="end"/>
          </w:r>
        </w:p>
      </w:sdtContent>
    </w:sdt>
    <w:p w14:paraId="3AE1B48D" w14:textId="77777777" w:rsidR="005A3CA6" w:rsidRDefault="005A3CA6"/>
    <w:p w14:paraId="7FD86A99" w14:textId="77777777" w:rsidR="006912E1" w:rsidRDefault="006912E1"/>
    <w:p w14:paraId="2C7E6692" w14:textId="77777777" w:rsidR="0031511A" w:rsidRDefault="003151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8339"/>
      </w:tblGrid>
      <w:tr w:rsidR="00247A56" w:rsidRPr="00493D72" w14:paraId="58DFF67C" w14:textId="77777777" w:rsidTr="00493D72">
        <w:trPr>
          <w:trHeight w:val="567"/>
        </w:trPr>
        <w:tc>
          <w:tcPr>
            <w:tcW w:w="0" w:type="auto"/>
            <w:gridSpan w:val="2"/>
            <w:shd w:val="clear" w:color="auto" w:fill="FBD4B4" w:themeFill="accent6" w:themeFillTint="66"/>
            <w:noWrap/>
            <w:vAlign w:val="center"/>
            <w:hideMark/>
          </w:tcPr>
          <w:p w14:paraId="74FAE995" w14:textId="77777777" w:rsidR="00660609" w:rsidRPr="00493D72" w:rsidRDefault="00C84B37" w:rsidP="00493D72">
            <w:pPr>
              <w:pStyle w:val="Heading1"/>
              <w:spacing w:before="0"/>
              <w:rPr>
                <w:rFonts w:ascii="Times New Roman" w:eastAsia="Times New Roman" w:hAnsi="Times New Roman" w:cs="Times New Roman"/>
                <w:noProof/>
                <w:color w:val="000000"/>
                <w:sz w:val="24"/>
                <w:szCs w:val="24"/>
                <w:lang w:val="sq-AL" w:eastAsia="sq-AL"/>
              </w:rPr>
            </w:pPr>
            <w:bookmarkStart w:id="0" w:name="_Toc69202488"/>
            <w:r w:rsidRPr="00493D72">
              <w:rPr>
                <w:rFonts w:ascii="Times New Roman" w:eastAsia="Times New Roman" w:hAnsi="Times New Roman" w:cs="Times New Roman"/>
                <w:noProof/>
                <w:color w:val="000000"/>
                <w:sz w:val="24"/>
                <w:szCs w:val="24"/>
                <w:lang w:val="sq-AL" w:eastAsia="sq-AL"/>
              </w:rPr>
              <w:lastRenderedPageBreak/>
              <w:t xml:space="preserve">1. </w:t>
            </w:r>
            <w:r w:rsidR="008D4004" w:rsidRPr="00493D72">
              <w:rPr>
                <w:rFonts w:ascii="Times New Roman" w:eastAsia="Times New Roman" w:hAnsi="Times New Roman" w:cs="Times New Roman"/>
                <w:noProof/>
                <w:color w:val="000000"/>
                <w:sz w:val="24"/>
                <w:szCs w:val="24"/>
                <w:lang w:val="sq-AL" w:eastAsia="sq-AL"/>
              </w:rPr>
              <w:t>Contact</w:t>
            </w:r>
            <w:bookmarkEnd w:id="0"/>
          </w:p>
        </w:tc>
      </w:tr>
      <w:tr w:rsidR="00617106" w:rsidRPr="00493D72" w14:paraId="7B590471" w14:textId="77777777" w:rsidTr="00EA1937">
        <w:trPr>
          <w:trHeight w:val="567"/>
        </w:trPr>
        <w:tc>
          <w:tcPr>
            <w:tcW w:w="2371" w:type="dxa"/>
            <w:shd w:val="clear" w:color="auto" w:fill="FFFFCC"/>
            <w:vAlign w:val="center"/>
            <w:hideMark/>
          </w:tcPr>
          <w:p w14:paraId="22FFC88B"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1.1. </w:t>
            </w:r>
            <w:r w:rsidR="008D4004" w:rsidRPr="00493D72">
              <w:rPr>
                <w:rFonts w:ascii="Times New Roman" w:eastAsia="Times New Roman" w:hAnsi="Times New Roman" w:cs="Times New Roman"/>
                <w:noProof/>
                <w:color w:val="000000"/>
                <w:sz w:val="24"/>
                <w:szCs w:val="24"/>
                <w:lang w:val="sq-AL" w:eastAsia="sq-AL"/>
              </w:rPr>
              <w:t>Contact organisation</w:t>
            </w:r>
          </w:p>
        </w:tc>
        <w:tc>
          <w:tcPr>
            <w:tcW w:w="8311" w:type="dxa"/>
            <w:shd w:val="clear" w:color="auto" w:fill="auto"/>
            <w:noWrap/>
            <w:vAlign w:val="center"/>
            <w:hideMark/>
          </w:tcPr>
          <w:p w14:paraId="49BD39A3" w14:textId="77777777" w:rsidR="00247A56" w:rsidRPr="00DB35D6" w:rsidRDefault="00247A56" w:rsidP="006234BE">
            <w:pPr>
              <w:spacing w:before="120" w:after="120" w:line="240" w:lineRule="auto"/>
              <w:ind w:left="101" w:right="86"/>
              <w:jc w:val="both"/>
              <w:rPr>
                <w:rFonts w:ascii="Times New Roman" w:hAnsi="Times New Roman" w:cs="Times New Roman"/>
                <w:noProof/>
                <w:sz w:val="24"/>
                <w:szCs w:val="24"/>
                <w:lang w:val="sq-AL"/>
              </w:rPr>
            </w:pPr>
            <w:r w:rsidRPr="00DB35D6">
              <w:rPr>
                <w:rFonts w:ascii="Times New Roman" w:hAnsi="Times New Roman" w:cs="Times New Roman"/>
                <w:noProof/>
                <w:sz w:val="24"/>
                <w:szCs w:val="24"/>
                <w:lang w:val="sq-AL"/>
              </w:rPr>
              <w:t>INSTAT, Institut</w:t>
            </w:r>
            <w:r w:rsidR="008A75C1" w:rsidRPr="00DB35D6">
              <w:rPr>
                <w:rFonts w:ascii="Times New Roman" w:hAnsi="Times New Roman" w:cs="Times New Roman"/>
                <w:noProof/>
                <w:sz w:val="24"/>
                <w:szCs w:val="24"/>
                <w:lang w:val="sq-AL"/>
              </w:rPr>
              <w:t>e</w:t>
            </w:r>
            <w:r w:rsidRPr="00DB35D6">
              <w:rPr>
                <w:rFonts w:ascii="Times New Roman" w:hAnsi="Times New Roman" w:cs="Times New Roman"/>
                <w:noProof/>
                <w:sz w:val="24"/>
                <w:szCs w:val="24"/>
                <w:lang w:val="sq-AL"/>
              </w:rPr>
              <w:t xml:space="preserve"> </w:t>
            </w:r>
            <w:r w:rsidR="008A75C1" w:rsidRPr="00DB35D6">
              <w:rPr>
                <w:rFonts w:ascii="Times New Roman" w:hAnsi="Times New Roman" w:cs="Times New Roman"/>
                <w:noProof/>
                <w:sz w:val="24"/>
                <w:szCs w:val="24"/>
                <w:lang w:val="sq-AL"/>
              </w:rPr>
              <w:t xml:space="preserve">of </w:t>
            </w:r>
            <w:r w:rsidRPr="00DB35D6">
              <w:rPr>
                <w:rFonts w:ascii="Times New Roman" w:hAnsi="Times New Roman" w:cs="Times New Roman"/>
                <w:noProof/>
                <w:sz w:val="24"/>
                <w:szCs w:val="24"/>
                <w:lang w:val="sq-AL"/>
              </w:rPr>
              <w:t>Statisti</w:t>
            </w:r>
            <w:r w:rsidR="008A75C1" w:rsidRPr="00DB35D6">
              <w:rPr>
                <w:rFonts w:ascii="Times New Roman" w:hAnsi="Times New Roman" w:cs="Times New Roman"/>
                <w:noProof/>
                <w:sz w:val="24"/>
                <w:szCs w:val="24"/>
                <w:lang w:val="sq-AL"/>
              </w:rPr>
              <w:t>cs</w:t>
            </w:r>
          </w:p>
        </w:tc>
      </w:tr>
      <w:tr w:rsidR="00617106" w:rsidRPr="00493D72" w14:paraId="1CC7EE54" w14:textId="77777777" w:rsidTr="00EA1937">
        <w:trPr>
          <w:trHeight w:val="567"/>
        </w:trPr>
        <w:tc>
          <w:tcPr>
            <w:tcW w:w="2371" w:type="dxa"/>
            <w:shd w:val="clear" w:color="auto" w:fill="FFFFCC"/>
            <w:vAlign w:val="center"/>
            <w:hideMark/>
          </w:tcPr>
          <w:p w14:paraId="210C6847"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1.2. </w:t>
            </w:r>
            <w:r w:rsidR="008D4004" w:rsidRPr="00493D72">
              <w:rPr>
                <w:rFonts w:ascii="Times New Roman" w:eastAsia="Times New Roman" w:hAnsi="Times New Roman" w:cs="Times New Roman"/>
                <w:noProof/>
                <w:color w:val="000000"/>
                <w:sz w:val="24"/>
                <w:szCs w:val="24"/>
                <w:lang w:val="sq-AL" w:eastAsia="sq-AL"/>
              </w:rPr>
              <w:t>Contact organisation unit</w:t>
            </w:r>
          </w:p>
        </w:tc>
        <w:tc>
          <w:tcPr>
            <w:tcW w:w="8311" w:type="dxa"/>
            <w:shd w:val="clear" w:color="auto" w:fill="auto"/>
            <w:noWrap/>
            <w:vAlign w:val="center"/>
            <w:hideMark/>
          </w:tcPr>
          <w:p w14:paraId="74091DC4" w14:textId="77777777" w:rsidR="00247A56" w:rsidRPr="00DB35D6" w:rsidRDefault="003F28F0" w:rsidP="006234BE">
            <w:pPr>
              <w:spacing w:before="120" w:after="120" w:line="240" w:lineRule="auto"/>
              <w:ind w:left="101" w:right="86"/>
              <w:jc w:val="both"/>
              <w:rPr>
                <w:rFonts w:ascii="Times New Roman" w:hAnsi="Times New Roman" w:cs="Times New Roman"/>
                <w:noProof/>
                <w:sz w:val="24"/>
                <w:szCs w:val="24"/>
                <w:lang w:val="sq-AL"/>
              </w:rPr>
            </w:pPr>
            <w:r w:rsidRPr="003F28F0">
              <w:rPr>
                <w:rFonts w:ascii="Times New Roman" w:hAnsi="Times New Roman" w:cs="Times New Roman"/>
                <w:color w:val="000000"/>
                <w:sz w:val="24"/>
                <w:szCs w:val="24"/>
              </w:rPr>
              <w:t>Short Term Statistics Unit, Directory of Economic Statistics</w:t>
            </w:r>
          </w:p>
        </w:tc>
      </w:tr>
      <w:tr w:rsidR="00617106" w:rsidRPr="00493D72" w14:paraId="6277996E" w14:textId="77777777" w:rsidTr="00EA1937">
        <w:trPr>
          <w:trHeight w:val="567"/>
        </w:trPr>
        <w:tc>
          <w:tcPr>
            <w:tcW w:w="2371" w:type="dxa"/>
            <w:shd w:val="clear" w:color="auto" w:fill="FFFFCC"/>
            <w:vAlign w:val="center"/>
            <w:hideMark/>
          </w:tcPr>
          <w:p w14:paraId="3D0EC563"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1.3. </w:t>
            </w:r>
            <w:r w:rsidR="008D4004" w:rsidRPr="00493D72">
              <w:rPr>
                <w:rFonts w:ascii="Times New Roman" w:eastAsia="Times New Roman" w:hAnsi="Times New Roman" w:cs="Times New Roman"/>
                <w:noProof/>
                <w:color w:val="000000"/>
                <w:sz w:val="24"/>
                <w:szCs w:val="24"/>
                <w:lang w:val="sq-AL" w:eastAsia="sq-AL"/>
              </w:rPr>
              <w:t>Contact name</w:t>
            </w:r>
          </w:p>
        </w:tc>
        <w:tc>
          <w:tcPr>
            <w:tcW w:w="8311" w:type="dxa"/>
            <w:shd w:val="clear" w:color="auto" w:fill="auto"/>
            <w:noWrap/>
            <w:vAlign w:val="center"/>
            <w:hideMark/>
          </w:tcPr>
          <w:p w14:paraId="7AB73BA1" w14:textId="77777777" w:rsidR="00247A56" w:rsidRPr="00DB35D6" w:rsidRDefault="00960526" w:rsidP="006234BE">
            <w:pPr>
              <w:spacing w:before="120" w:after="120" w:line="240" w:lineRule="auto"/>
              <w:ind w:left="101" w:right="86"/>
              <w:jc w:val="both"/>
              <w:rPr>
                <w:rFonts w:ascii="Times New Roman" w:hAnsi="Times New Roman" w:cs="Times New Roman"/>
                <w:noProof/>
                <w:sz w:val="24"/>
                <w:szCs w:val="24"/>
                <w:lang w:val="sq-AL"/>
              </w:rPr>
            </w:pPr>
            <w:r w:rsidRPr="00DB35D6">
              <w:rPr>
                <w:rFonts w:ascii="Times New Roman" w:hAnsi="Times New Roman" w:cs="Times New Roman"/>
                <w:color w:val="000000"/>
                <w:sz w:val="24"/>
                <w:szCs w:val="24"/>
              </w:rPr>
              <w:t>Ervisa Bushati</w:t>
            </w:r>
          </w:p>
        </w:tc>
      </w:tr>
      <w:tr w:rsidR="00617106" w:rsidRPr="00493D72" w14:paraId="00AF7650" w14:textId="77777777" w:rsidTr="00EA1937">
        <w:trPr>
          <w:trHeight w:val="567"/>
        </w:trPr>
        <w:tc>
          <w:tcPr>
            <w:tcW w:w="2371" w:type="dxa"/>
            <w:shd w:val="clear" w:color="auto" w:fill="FFFFCC"/>
            <w:vAlign w:val="center"/>
            <w:hideMark/>
          </w:tcPr>
          <w:p w14:paraId="2145FA3D"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1.4. </w:t>
            </w:r>
            <w:r w:rsidR="008D4004" w:rsidRPr="00493D72">
              <w:rPr>
                <w:rFonts w:ascii="Times New Roman" w:eastAsia="Times New Roman" w:hAnsi="Times New Roman" w:cs="Times New Roman"/>
                <w:noProof/>
                <w:color w:val="000000"/>
                <w:sz w:val="24"/>
                <w:szCs w:val="24"/>
                <w:lang w:val="sq-AL" w:eastAsia="sq-AL"/>
              </w:rPr>
              <w:t>Contact person function</w:t>
            </w:r>
          </w:p>
        </w:tc>
        <w:tc>
          <w:tcPr>
            <w:tcW w:w="8311" w:type="dxa"/>
            <w:shd w:val="clear" w:color="auto" w:fill="auto"/>
            <w:noWrap/>
            <w:vAlign w:val="center"/>
            <w:hideMark/>
          </w:tcPr>
          <w:p w14:paraId="149DB182" w14:textId="77777777" w:rsidR="00247A56" w:rsidRPr="00DB35D6" w:rsidRDefault="00960526" w:rsidP="001671B8">
            <w:pPr>
              <w:spacing w:before="120" w:after="120" w:line="240" w:lineRule="auto"/>
              <w:ind w:left="101" w:right="86"/>
              <w:jc w:val="both"/>
              <w:rPr>
                <w:rFonts w:ascii="Times New Roman" w:hAnsi="Times New Roman" w:cs="Times New Roman"/>
                <w:noProof/>
                <w:sz w:val="24"/>
                <w:szCs w:val="24"/>
                <w:lang w:val="sq-AL"/>
              </w:rPr>
            </w:pPr>
            <w:r w:rsidRPr="00DB35D6">
              <w:rPr>
                <w:rFonts w:ascii="Times New Roman" w:hAnsi="Times New Roman" w:cs="Times New Roman"/>
                <w:color w:val="000000"/>
                <w:sz w:val="24"/>
                <w:szCs w:val="24"/>
              </w:rPr>
              <w:t xml:space="preserve">Specialist of </w:t>
            </w:r>
            <w:r w:rsidR="000E6A3D">
              <w:rPr>
                <w:rFonts w:ascii="Times New Roman" w:hAnsi="Times New Roman" w:cs="Times New Roman"/>
                <w:color w:val="000000"/>
                <w:sz w:val="24"/>
                <w:szCs w:val="24"/>
              </w:rPr>
              <w:t>Short Term Statistics</w:t>
            </w:r>
            <w:r w:rsidRPr="00DB35D6">
              <w:rPr>
                <w:rFonts w:ascii="Times New Roman" w:hAnsi="Times New Roman" w:cs="Times New Roman"/>
                <w:color w:val="000000"/>
                <w:sz w:val="24"/>
                <w:szCs w:val="24"/>
              </w:rPr>
              <w:t xml:space="preserve"> </w:t>
            </w:r>
            <w:r w:rsidR="001671B8">
              <w:rPr>
                <w:rFonts w:ascii="Times New Roman" w:hAnsi="Times New Roman" w:cs="Times New Roman"/>
                <w:color w:val="000000"/>
                <w:sz w:val="24"/>
                <w:szCs w:val="24"/>
              </w:rPr>
              <w:t>Unit</w:t>
            </w:r>
          </w:p>
        </w:tc>
      </w:tr>
      <w:tr w:rsidR="00617106" w:rsidRPr="00493D72" w14:paraId="6A24C2FA" w14:textId="77777777" w:rsidTr="00EA1937">
        <w:trPr>
          <w:trHeight w:val="567"/>
        </w:trPr>
        <w:tc>
          <w:tcPr>
            <w:tcW w:w="2371" w:type="dxa"/>
            <w:shd w:val="clear" w:color="auto" w:fill="FFFFCC"/>
            <w:vAlign w:val="center"/>
            <w:hideMark/>
          </w:tcPr>
          <w:p w14:paraId="665A835F"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1.5. </w:t>
            </w:r>
            <w:r w:rsidR="008D4004" w:rsidRPr="00493D72">
              <w:rPr>
                <w:rFonts w:ascii="Times New Roman" w:eastAsia="Times New Roman" w:hAnsi="Times New Roman" w:cs="Times New Roman"/>
                <w:noProof/>
                <w:color w:val="000000"/>
                <w:sz w:val="24"/>
                <w:szCs w:val="24"/>
                <w:lang w:val="sq-AL" w:eastAsia="sq-AL"/>
              </w:rPr>
              <w:t>Contact mail address</w:t>
            </w:r>
          </w:p>
        </w:tc>
        <w:tc>
          <w:tcPr>
            <w:tcW w:w="8311" w:type="dxa"/>
            <w:shd w:val="clear" w:color="auto" w:fill="auto"/>
            <w:noWrap/>
            <w:vAlign w:val="center"/>
            <w:hideMark/>
          </w:tcPr>
          <w:p w14:paraId="396EC913" w14:textId="77777777" w:rsidR="00247A56" w:rsidRPr="00DB35D6" w:rsidRDefault="006234BE" w:rsidP="006234BE">
            <w:pPr>
              <w:spacing w:before="120" w:after="120" w:line="240" w:lineRule="auto"/>
              <w:ind w:left="101" w:right="86"/>
              <w:jc w:val="both"/>
              <w:rPr>
                <w:rFonts w:ascii="Times New Roman" w:hAnsi="Times New Roman" w:cs="Times New Roman"/>
                <w:noProof/>
                <w:sz w:val="24"/>
                <w:szCs w:val="24"/>
                <w:lang w:val="sq-AL"/>
              </w:rPr>
            </w:pPr>
            <w:r w:rsidRPr="00403365">
              <w:rPr>
                <w:rFonts w:ascii="Times New Roman" w:eastAsia="Times New Roman" w:hAnsi="Times New Roman" w:cs="Times New Roman"/>
                <w:color w:val="000000"/>
                <w:sz w:val="24"/>
                <w:szCs w:val="24"/>
                <w:lang w:eastAsia="en-GB"/>
              </w:rPr>
              <w:t xml:space="preserve">St. Vllazën </w:t>
            </w:r>
            <w:proofErr w:type="spellStart"/>
            <w:r w:rsidRPr="00403365">
              <w:rPr>
                <w:rFonts w:ascii="Times New Roman" w:eastAsia="Times New Roman" w:hAnsi="Times New Roman" w:cs="Times New Roman"/>
                <w:color w:val="000000"/>
                <w:sz w:val="24"/>
                <w:szCs w:val="24"/>
                <w:lang w:eastAsia="en-GB"/>
              </w:rPr>
              <w:t>Huta</w:t>
            </w:r>
            <w:proofErr w:type="spellEnd"/>
            <w:r w:rsidRPr="00403365">
              <w:rPr>
                <w:rFonts w:ascii="Times New Roman" w:eastAsia="Times New Roman" w:hAnsi="Times New Roman" w:cs="Times New Roman"/>
                <w:color w:val="000000"/>
                <w:sz w:val="24"/>
                <w:szCs w:val="24"/>
                <w:lang w:eastAsia="en-GB"/>
              </w:rPr>
              <w:t>, Building 35, Entrance 1, ZIP Code 1017, Tirana.</w:t>
            </w:r>
          </w:p>
        </w:tc>
      </w:tr>
      <w:tr w:rsidR="00617106" w:rsidRPr="00493D72" w14:paraId="60C240B9" w14:textId="77777777" w:rsidTr="00EA1937">
        <w:trPr>
          <w:trHeight w:val="567"/>
        </w:trPr>
        <w:tc>
          <w:tcPr>
            <w:tcW w:w="2371" w:type="dxa"/>
            <w:shd w:val="clear" w:color="auto" w:fill="FFFFCC"/>
            <w:vAlign w:val="center"/>
            <w:hideMark/>
          </w:tcPr>
          <w:p w14:paraId="1F58F24C"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1.6. </w:t>
            </w:r>
            <w:r w:rsidR="008D4004" w:rsidRPr="00493D72">
              <w:rPr>
                <w:rFonts w:ascii="Times New Roman" w:eastAsia="Times New Roman" w:hAnsi="Times New Roman" w:cs="Times New Roman"/>
                <w:noProof/>
                <w:color w:val="000000"/>
                <w:sz w:val="24"/>
                <w:szCs w:val="24"/>
                <w:lang w:val="sq-AL" w:eastAsia="sq-AL"/>
              </w:rPr>
              <w:t>Contact email address</w:t>
            </w:r>
          </w:p>
        </w:tc>
        <w:tc>
          <w:tcPr>
            <w:tcW w:w="8311" w:type="dxa"/>
            <w:shd w:val="clear" w:color="auto" w:fill="auto"/>
            <w:noWrap/>
            <w:vAlign w:val="center"/>
            <w:hideMark/>
          </w:tcPr>
          <w:p w14:paraId="325422A7" w14:textId="77777777" w:rsidR="00C84B37" w:rsidRPr="004D20D6" w:rsidRDefault="00D3798F" w:rsidP="006234BE">
            <w:pPr>
              <w:spacing w:before="120" w:after="120" w:line="240" w:lineRule="auto"/>
              <w:ind w:left="101" w:right="86"/>
              <w:jc w:val="both"/>
              <w:rPr>
                <w:rFonts w:ascii="Times New Roman" w:hAnsi="Times New Roman" w:cs="Times New Roman"/>
                <w:noProof/>
                <w:color w:val="0000FF"/>
                <w:sz w:val="24"/>
                <w:szCs w:val="24"/>
                <w:lang w:val="sq-AL"/>
              </w:rPr>
            </w:pPr>
            <w:hyperlink r:id="rId9" w:history="1">
              <w:r w:rsidR="00960526" w:rsidRPr="004D20D6">
                <w:rPr>
                  <w:rFonts w:ascii="&amp;quot" w:hAnsi="&amp;quot"/>
                  <w:color w:val="0000FF"/>
                  <w:u w:val="single"/>
                </w:rPr>
                <w:t>ebushati@instat.gov.al</w:t>
              </w:r>
            </w:hyperlink>
          </w:p>
        </w:tc>
      </w:tr>
      <w:tr w:rsidR="00617106" w:rsidRPr="00493D72" w14:paraId="5A91F0F8" w14:textId="77777777" w:rsidTr="00EA1937">
        <w:trPr>
          <w:trHeight w:val="567"/>
        </w:trPr>
        <w:tc>
          <w:tcPr>
            <w:tcW w:w="2371" w:type="dxa"/>
            <w:shd w:val="clear" w:color="auto" w:fill="FFFFCC"/>
            <w:vAlign w:val="center"/>
            <w:hideMark/>
          </w:tcPr>
          <w:p w14:paraId="1739F42B"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1.7. </w:t>
            </w:r>
            <w:r w:rsidR="008A75C1" w:rsidRPr="00493D72">
              <w:rPr>
                <w:rFonts w:ascii="Times New Roman" w:eastAsia="Times New Roman" w:hAnsi="Times New Roman" w:cs="Times New Roman"/>
                <w:noProof/>
                <w:color w:val="000000"/>
                <w:sz w:val="24"/>
                <w:szCs w:val="24"/>
                <w:lang w:val="sq-AL" w:eastAsia="sq-AL"/>
              </w:rPr>
              <w:t>Contact phone number</w:t>
            </w:r>
          </w:p>
        </w:tc>
        <w:tc>
          <w:tcPr>
            <w:tcW w:w="8311" w:type="dxa"/>
            <w:shd w:val="clear" w:color="auto" w:fill="auto"/>
            <w:noWrap/>
            <w:vAlign w:val="center"/>
            <w:hideMark/>
          </w:tcPr>
          <w:p w14:paraId="2558CBDF" w14:textId="77777777" w:rsidR="00247A56" w:rsidRPr="00493D72" w:rsidRDefault="00247A56" w:rsidP="006234BE">
            <w:pPr>
              <w:spacing w:before="120" w:after="120" w:line="240" w:lineRule="auto"/>
              <w:ind w:left="101" w:right="86"/>
              <w:jc w:val="both"/>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+(355) 4 233356 / 233/ 240</w:t>
            </w:r>
          </w:p>
        </w:tc>
      </w:tr>
      <w:tr w:rsidR="00617106" w:rsidRPr="00493D72" w14:paraId="5398ABC3" w14:textId="77777777" w:rsidTr="00EA1937">
        <w:trPr>
          <w:trHeight w:val="567"/>
        </w:trPr>
        <w:tc>
          <w:tcPr>
            <w:tcW w:w="2371" w:type="dxa"/>
            <w:shd w:val="clear" w:color="auto" w:fill="FFFFCC"/>
            <w:vAlign w:val="center"/>
            <w:hideMark/>
          </w:tcPr>
          <w:p w14:paraId="2BD63475" w14:textId="77777777"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1.8. </w:t>
            </w:r>
            <w:r w:rsidR="008A75C1" w:rsidRPr="00493D72">
              <w:rPr>
                <w:rFonts w:ascii="Times New Roman" w:eastAsia="Times New Roman" w:hAnsi="Times New Roman" w:cs="Times New Roman"/>
                <w:noProof/>
                <w:color w:val="000000"/>
                <w:sz w:val="24"/>
                <w:szCs w:val="24"/>
                <w:lang w:val="sq-AL" w:eastAsia="sq-AL"/>
              </w:rPr>
              <w:t>Contact fax number</w:t>
            </w:r>
          </w:p>
        </w:tc>
        <w:tc>
          <w:tcPr>
            <w:tcW w:w="8311" w:type="dxa"/>
            <w:shd w:val="clear" w:color="auto" w:fill="auto"/>
            <w:noWrap/>
            <w:vAlign w:val="center"/>
            <w:hideMark/>
          </w:tcPr>
          <w:p w14:paraId="53A74897" w14:textId="77777777" w:rsidR="00247A56" w:rsidRPr="00493D72" w:rsidRDefault="00247A56" w:rsidP="006234BE">
            <w:pPr>
              <w:spacing w:before="120" w:after="120" w:line="240" w:lineRule="auto"/>
              <w:ind w:left="101" w:right="86"/>
              <w:jc w:val="both"/>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+(355) 4 228300</w:t>
            </w:r>
          </w:p>
        </w:tc>
      </w:tr>
      <w:tr w:rsidR="00247A56" w:rsidRPr="00493D72" w14:paraId="24DFC167" w14:textId="77777777" w:rsidTr="00493D72">
        <w:trPr>
          <w:trHeight w:val="567"/>
        </w:trPr>
        <w:tc>
          <w:tcPr>
            <w:tcW w:w="0" w:type="auto"/>
            <w:gridSpan w:val="2"/>
            <w:shd w:val="clear" w:color="auto" w:fill="FBD4B4" w:themeFill="accent6" w:themeFillTint="66"/>
            <w:noWrap/>
            <w:vAlign w:val="center"/>
            <w:hideMark/>
          </w:tcPr>
          <w:p w14:paraId="230228B1" w14:textId="77777777" w:rsidR="00247A56" w:rsidRPr="00493D72" w:rsidRDefault="00247A56" w:rsidP="00493D72">
            <w:pPr>
              <w:pStyle w:val="Heading1"/>
              <w:spacing w:before="0"/>
              <w:rPr>
                <w:rFonts w:ascii="Times New Roman" w:hAnsi="Times New Roman" w:cs="Times New Roman"/>
                <w:noProof/>
                <w:sz w:val="24"/>
                <w:szCs w:val="24"/>
                <w:lang w:val="sq-AL"/>
              </w:rPr>
            </w:pPr>
            <w:bookmarkStart w:id="1" w:name="_Toc69202489"/>
            <w:r w:rsidRPr="00493D72">
              <w:rPr>
                <w:rFonts w:ascii="Times New Roman" w:eastAsia="Times New Roman" w:hAnsi="Times New Roman" w:cs="Times New Roman"/>
                <w:noProof/>
                <w:color w:val="000000"/>
                <w:sz w:val="24"/>
                <w:szCs w:val="24"/>
                <w:lang w:val="sq-AL" w:eastAsia="sq-AL"/>
              </w:rPr>
              <w:t xml:space="preserve">2. </w:t>
            </w:r>
            <w:r w:rsidR="00C84B37" w:rsidRPr="00493D72">
              <w:rPr>
                <w:rFonts w:ascii="Times New Roman" w:eastAsia="Times New Roman" w:hAnsi="Times New Roman" w:cs="Times New Roman"/>
                <w:noProof/>
                <w:color w:val="000000"/>
                <w:sz w:val="24"/>
                <w:szCs w:val="24"/>
                <w:lang w:val="sq-AL" w:eastAsia="sq-AL"/>
              </w:rPr>
              <w:t>Metadata update</w:t>
            </w:r>
            <w:bookmarkEnd w:id="1"/>
          </w:p>
        </w:tc>
      </w:tr>
      <w:tr w:rsidR="009E35B4" w:rsidRPr="00493D72" w14:paraId="5876EB79" w14:textId="77777777" w:rsidTr="00EA1937">
        <w:trPr>
          <w:trHeight w:val="567"/>
        </w:trPr>
        <w:tc>
          <w:tcPr>
            <w:tcW w:w="2371" w:type="dxa"/>
            <w:shd w:val="clear" w:color="auto" w:fill="FFFFCC"/>
            <w:noWrap/>
            <w:vAlign w:val="center"/>
            <w:hideMark/>
          </w:tcPr>
          <w:p w14:paraId="370B619D" w14:textId="77777777" w:rsidR="009E35B4" w:rsidRPr="00493D72" w:rsidRDefault="009E35B4"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2.1. Metadata last certified</w:t>
            </w:r>
          </w:p>
        </w:tc>
        <w:tc>
          <w:tcPr>
            <w:tcW w:w="8311" w:type="dxa"/>
            <w:shd w:val="clear" w:color="auto" w:fill="auto"/>
            <w:noWrap/>
            <w:vAlign w:val="center"/>
            <w:hideMark/>
          </w:tcPr>
          <w:p w14:paraId="4AAC8BAB" w14:textId="61A11C4E" w:rsidR="009E35B4" w:rsidRPr="00DB35D6" w:rsidRDefault="00020447" w:rsidP="004B52A2">
            <w:pPr>
              <w:spacing w:before="120" w:after="120" w:line="240" w:lineRule="auto"/>
              <w:ind w:left="101" w:right="86"/>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19</w:t>
            </w:r>
            <w:r w:rsidR="0014042A">
              <w:rPr>
                <w:rFonts w:ascii="Times New Roman" w:hAnsi="Times New Roman" w:cs="Times New Roman"/>
                <w:noProof/>
                <w:sz w:val="24"/>
                <w:szCs w:val="24"/>
                <w:lang w:val="sq-AL"/>
              </w:rPr>
              <w:t>.</w:t>
            </w:r>
            <w:r w:rsidR="004B52A2">
              <w:rPr>
                <w:rFonts w:ascii="Times New Roman" w:hAnsi="Times New Roman" w:cs="Times New Roman"/>
                <w:noProof/>
                <w:sz w:val="24"/>
                <w:szCs w:val="24"/>
                <w:lang w:val="sq-AL"/>
              </w:rPr>
              <w:t>02</w:t>
            </w:r>
            <w:r w:rsidR="0014042A">
              <w:rPr>
                <w:rFonts w:ascii="Times New Roman" w:hAnsi="Times New Roman" w:cs="Times New Roman"/>
                <w:noProof/>
                <w:sz w:val="24"/>
                <w:szCs w:val="24"/>
                <w:lang w:val="sq-AL"/>
              </w:rPr>
              <w:t>.202</w:t>
            </w:r>
            <w:r w:rsidR="004B52A2">
              <w:rPr>
                <w:rFonts w:ascii="Times New Roman" w:hAnsi="Times New Roman" w:cs="Times New Roman"/>
                <w:noProof/>
                <w:sz w:val="24"/>
                <w:szCs w:val="24"/>
                <w:lang w:val="sq-AL"/>
              </w:rPr>
              <w:t>1</w:t>
            </w:r>
          </w:p>
        </w:tc>
      </w:tr>
      <w:tr w:rsidR="009E35B4" w:rsidRPr="00493D72" w14:paraId="6C19E3E8" w14:textId="77777777" w:rsidTr="00EA1937">
        <w:trPr>
          <w:trHeight w:val="567"/>
        </w:trPr>
        <w:tc>
          <w:tcPr>
            <w:tcW w:w="2371" w:type="dxa"/>
            <w:shd w:val="clear" w:color="auto" w:fill="FFFFCC"/>
            <w:noWrap/>
            <w:vAlign w:val="center"/>
            <w:hideMark/>
          </w:tcPr>
          <w:p w14:paraId="65345E51" w14:textId="77777777" w:rsidR="009E35B4" w:rsidRPr="00493D72" w:rsidRDefault="009E35B4"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2.2. Metadata last posted</w:t>
            </w:r>
          </w:p>
        </w:tc>
        <w:tc>
          <w:tcPr>
            <w:tcW w:w="8311" w:type="dxa"/>
            <w:shd w:val="clear" w:color="auto" w:fill="auto"/>
            <w:noWrap/>
            <w:vAlign w:val="center"/>
            <w:hideMark/>
          </w:tcPr>
          <w:p w14:paraId="25132FB4" w14:textId="04E6DAB6" w:rsidR="009E35B4" w:rsidRPr="00DB35D6" w:rsidRDefault="004B52A2" w:rsidP="005D406B">
            <w:pPr>
              <w:spacing w:before="120" w:after="120" w:line="240" w:lineRule="auto"/>
              <w:ind w:left="101" w:right="86"/>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19.11.2020</w:t>
            </w:r>
          </w:p>
        </w:tc>
      </w:tr>
      <w:tr w:rsidR="009E35B4" w:rsidRPr="00493D72" w14:paraId="4EF2FC56" w14:textId="77777777" w:rsidTr="00EA1937">
        <w:trPr>
          <w:trHeight w:val="567"/>
        </w:trPr>
        <w:tc>
          <w:tcPr>
            <w:tcW w:w="2371" w:type="dxa"/>
            <w:shd w:val="clear" w:color="auto" w:fill="FFFFCC"/>
            <w:noWrap/>
            <w:vAlign w:val="center"/>
            <w:hideMark/>
          </w:tcPr>
          <w:p w14:paraId="38491B1E" w14:textId="77777777" w:rsidR="009E35B4" w:rsidRPr="00493D72" w:rsidRDefault="009E35B4"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2.3. Metadata last update</w:t>
            </w:r>
          </w:p>
        </w:tc>
        <w:tc>
          <w:tcPr>
            <w:tcW w:w="8311" w:type="dxa"/>
            <w:shd w:val="clear" w:color="auto" w:fill="auto"/>
            <w:noWrap/>
            <w:vAlign w:val="center"/>
            <w:hideMark/>
          </w:tcPr>
          <w:p w14:paraId="67A20DA9" w14:textId="209B1662" w:rsidR="009E35B4" w:rsidRPr="00DB35D6" w:rsidRDefault="00020447" w:rsidP="004B52A2">
            <w:pPr>
              <w:spacing w:before="120" w:after="120" w:line="240" w:lineRule="auto"/>
              <w:ind w:left="101" w:right="86"/>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19.</w:t>
            </w:r>
            <w:r w:rsidR="004B52A2">
              <w:rPr>
                <w:rFonts w:ascii="Times New Roman" w:hAnsi="Times New Roman" w:cs="Times New Roman"/>
                <w:noProof/>
                <w:sz w:val="24"/>
                <w:szCs w:val="24"/>
                <w:lang w:val="sq-AL"/>
              </w:rPr>
              <w:t>02</w:t>
            </w:r>
            <w:r w:rsidR="0014042A">
              <w:rPr>
                <w:rFonts w:ascii="Times New Roman" w:hAnsi="Times New Roman" w:cs="Times New Roman"/>
                <w:noProof/>
                <w:sz w:val="24"/>
                <w:szCs w:val="24"/>
                <w:lang w:val="sq-AL"/>
              </w:rPr>
              <w:t>.202</w:t>
            </w:r>
            <w:r w:rsidR="004B52A2">
              <w:rPr>
                <w:rFonts w:ascii="Times New Roman" w:hAnsi="Times New Roman" w:cs="Times New Roman"/>
                <w:noProof/>
                <w:sz w:val="24"/>
                <w:szCs w:val="24"/>
                <w:lang w:val="sq-AL"/>
              </w:rPr>
              <w:t>1</w:t>
            </w:r>
          </w:p>
        </w:tc>
      </w:tr>
      <w:tr w:rsidR="00247A56" w:rsidRPr="00493D72" w14:paraId="2C6DA3BB" w14:textId="77777777" w:rsidTr="00493D72">
        <w:trPr>
          <w:trHeight w:val="567"/>
        </w:trPr>
        <w:tc>
          <w:tcPr>
            <w:tcW w:w="0" w:type="auto"/>
            <w:gridSpan w:val="2"/>
            <w:shd w:val="clear" w:color="auto" w:fill="FBD4B4" w:themeFill="accent6" w:themeFillTint="66"/>
            <w:noWrap/>
            <w:vAlign w:val="center"/>
            <w:hideMark/>
          </w:tcPr>
          <w:p w14:paraId="5AC75751" w14:textId="77777777" w:rsidR="00247A56" w:rsidRPr="00DB35D6" w:rsidRDefault="00247A56"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2" w:name="_Toc69202490"/>
            <w:r w:rsidRPr="00DB35D6">
              <w:rPr>
                <w:rFonts w:ascii="Times New Roman" w:eastAsia="Times New Roman" w:hAnsi="Times New Roman" w:cs="Times New Roman"/>
                <w:noProof/>
                <w:color w:val="000000"/>
                <w:sz w:val="24"/>
                <w:szCs w:val="24"/>
                <w:lang w:val="sq-AL" w:eastAsia="sq-AL"/>
              </w:rPr>
              <w:t xml:space="preserve">3. </w:t>
            </w:r>
            <w:r w:rsidR="009E35B4" w:rsidRPr="00DB35D6">
              <w:rPr>
                <w:rFonts w:ascii="Times New Roman" w:eastAsia="Times New Roman" w:hAnsi="Times New Roman" w:cs="Times New Roman"/>
                <w:noProof/>
                <w:color w:val="000000"/>
                <w:sz w:val="24"/>
                <w:szCs w:val="24"/>
                <w:lang w:val="sq-AL" w:eastAsia="sq-AL"/>
              </w:rPr>
              <w:t>Statistical presentation</w:t>
            </w:r>
            <w:bookmarkEnd w:id="2"/>
          </w:p>
        </w:tc>
      </w:tr>
      <w:tr w:rsidR="00473EF5" w:rsidRPr="00493D72" w14:paraId="0F136B40" w14:textId="77777777" w:rsidTr="00EA1937">
        <w:trPr>
          <w:trHeight w:val="567"/>
        </w:trPr>
        <w:tc>
          <w:tcPr>
            <w:tcW w:w="2371" w:type="dxa"/>
            <w:shd w:val="clear" w:color="auto" w:fill="FFFFCC"/>
            <w:noWrap/>
            <w:vAlign w:val="center"/>
            <w:hideMark/>
          </w:tcPr>
          <w:p w14:paraId="052F0698"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3.1. Data description</w:t>
            </w:r>
          </w:p>
        </w:tc>
        <w:tc>
          <w:tcPr>
            <w:tcW w:w="8311" w:type="dxa"/>
            <w:shd w:val="clear" w:color="auto" w:fill="auto"/>
            <w:vAlign w:val="center"/>
          </w:tcPr>
          <w:p w14:paraId="781C9788" w14:textId="77777777" w:rsidR="00960526" w:rsidRPr="00960526" w:rsidRDefault="00960526" w:rsidP="00CF02AF">
            <w:pPr>
              <w:spacing w:before="120" w:after="120" w:line="240" w:lineRule="auto"/>
              <w:ind w:left="101" w:right="86"/>
              <w:jc w:val="both"/>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 xml:space="preserve">The purpose of the survey on accommodation </w:t>
            </w:r>
            <w:r w:rsidR="003F28F0">
              <w:rPr>
                <w:rFonts w:ascii="Times New Roman" w:eastAsia="Times New Roman" w:hAnsi="Times New Roman" w:cs="Times New Roman"/>
                <w:color w:val="000000"/>
                <w:sz w:val="24"/>
                <w:szCs w:val="24"/>
              </w:rPr>
              <w:t>establishments and other</w:t>
            </w:r>
            <w:r w:rsidRPr="00960526">
              <w:rPr>
                <w:rFonts w:ascii="Times New Roman" w:eastAsia="Times New Roman" w:hAnsi="Times New Roman" w:cs="Times New Roman"/>
                <w:color w:val="000000"/>
                <w:sz w:val="24"/>
                <w:szCs w:val="24"/>
              </w:rPr>
              <w:t xml:space="preserve"> similar to them is to monitor tourist activities; to collect important indicators on tourism from the supply side; capture trends on resident nights and visitors, rooms, etc; to calculate statistical indicators on the Albanian tourism accommodation offer in monthly periods that are important to determine the tourism sector's capacity development trend. The data is collected monthly through the questionnaire "Accommodation </w:t>
            </w:r>
            <w:r w:rsidR="003F28F0">
              <w:rPr>
                <w:rFonts w:ascii="Times New Roman" w:eastAsia="Times New Roman" w:hAnsi="Times New Roman" w:cs="Times New Roman"/>
                <w:color w:val="000000"/>
                <w:sz w:val="24"/>
                <w:szCs w:val="24"/>
              </w:rPr>
              <w:t>Establishments</w:t>
            </w:r>
            <w:r w:rsidRPr="00960526">
              <w:rPr>
                <w:rFonts w:ascii="Times New Roman" w:eastAsia="Times New Roman" w:hAnsi="Times New Roman" w:cs="Times New Roman"/>
                <w:color w:val="000000"/>
                <w:sz w:val="24"/>
                <w:szCs w:val="24"/>
              </w:rPr>
              <w:t xml:space="preserve"> Survey".</w:t>
            </w:r>
          </w:p>
          <w:p w14:paraId="7BEE43F3" w14:textId="77777777" w:rsidR="00960526" w:rsidRDefault="00960526" w:rsidP="00CF02AF">
            <w:pPr>
              <w:spacing w:before="120" w:after="120" w:line="240" w:lineRule="auto"/>
              <w:ind w:left="101" w:right="86"/>
              <w:jc w:val="both"/>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The variables collected by the survey are the following:</w:t>
            </w:r>
          </w:p>
          <w:p w14:paraId="7EB1B1BE" w14:textId="77777777" w:rsidR="00975C5E" w:rsidRPr="00975C5E" w:rsidRDefault="00975C5E" w:rsidP="00FE591F">
            <w:pPr>
              <w:pStyle w:val="ListParagraph"/>
              <w:numPr>
                <w:ilvl w:val="0"/>
                <w:numId w:val="2"/>
              </w:numPr>
              <w:spacing w:before="30" w:after="30"/>
              <w:rPr>
                <w:color w:val="000000"/>
              </w:rPr>
            </w:pPr>
            <w:r w:rsidRPr="00975C5E">
              <w:rPr>
                <w:color w:val="000000"/>
              </w:rPr>
              <w:t>Number of residents;</w:t>
            </w:r>
          </w:p>
          <w:p w14:paraId="01FCB898" w14:textId="77777777" w:rsidR="00975C5E" w:rsidRPr="00975C5E" w:rsidRDefault="00975C5E" w:rsidP="00FE591F">
            <w:pPr>
              <w:pStyle w:val="ListParagraph"/>
              <w:numPr>
                <w:ilvl w:val="0"/>
                <w:numId w:val="2"/>
              </w:numPr>
              <w:spacing w:before="30" w:after="30"/>
              <w:rPr>
                <w:color w:val="000000"/>
              </w:rPr>
            </w:pPr>
            <w:r w:rsidRPr="00975C5E">
              <w:rPr>
                <w:color w:val="000000"/>
              </w:rPr>
              <w:t>Number of non-residents;</w:t>
            </w:r>
          </w:p>
          <w:p w14:paraId="5742485A" w14:textId="77777777" w:rsidR="00975C5E" w:rsidRPr="00975C5E" w:rsidRDefault="00975C5E" w:rsidP="00FE591F">
            <w:pPr>
              <w:pStyle w:val="ListParagraph"/>
              <w:numPr>
                <w:ilvl w:val="0"/>
                <w:numId w:val="2"/>
              </w:numPr>
              <w:spacing w:before="30" w:after="30"/>
              <w:rPr>
                <w:color w:val="000000"/>
              </w:rPr>
            </w:pPr>
            <w:r w:rsidRPr="00975C5E">
              <w:rPr>
                <w:color w:val="000000"/>
              </w:rPr>
              <w:t>Nights spent by residents;</w:t>
            </w:r>
          </w:p>
          <w:p w14:paraId="24DE9A30" w14:textId="77777777" w:rsidR="00975C5E" w:rsidRDefault="00975C5E" w:rsidP="00FE591F">
            <w:pPr>
              <w:pStyle w:val="ListParagraph"/>
              <w:numPr>
                <w:ilvl w:val="0"/>
                <w:numId w:val="2"/>
              </w:numPr>
              <w:spacing w:before="30" w:after="30"/>
              <w:rPr>
                <w:color w:val="000000"/>
              </w:rPr>
            </w:pPr>
            <w:r w:rsidRPr="00975C5E">
              <w:rPr>
                <w:color w:val="000000"/>
              </w:rPr>
              <w:t>Nights spent by non-residents;</w:t>
            </w:r>
          </w:p>
          <w:p w14:paraId="0ACDE6BA" w14:textId="77777777" w:rsidR="00975C5E" w:rsidRPr="00975C5E" w:rsidRDefault="00975C5E" w:rsidP="00FE591F">
            <w:pPr>
              <w:pStyle w:val="ListParagraph"/>
              <w:numPr>
                <w:ilvl w:val="0"/>
                <w:numId w:val="2"/>
              </w:numPr>
              <w:spacing w:before="30" w:after="30"/>
              <w:rPr>
                <w:color w:val="000000"/>
              </w:rPr>
            </w:pPr>
            <w:r w:rsidRPr="00975C5E">
              <w:rPr>
                <w:color w:val="000000"/>
              </w:rPr>
              <w:t xml:space="preserve">Number of room nights sold to </w:t>
            </w:r>
            <w:r>
              <w:rPr>
                <w:color w:val="000000"/>
              </w:rPr>
              <w:t>non-</w:t>
            </w:r>
            <w:r w:rsidRPr="00975C5E">
              <w:rPr>
                <w:color w:val="000000"/>
              </w:rPr>
              <w:t xml:space="preserve"> residents;</w:t>
            </w:r>
          </w:p>
          <w:p w14:paraId="18192565" w14:textId="77777777" w:rsidR="009D0882" w:rsidRDefault="00975C5E" w:rsidP="00FE591F">
            <w:pPr>
              <w:pStyle w:val="ListParagraph"/>
              <w:numPr>
                <w:ilvl w:val="0"/>
                <w:numId w:val="2"/>
              </w:numPr>
              <w:spacing w:before="30" w:after="30"/>
              <w:rPr>
                <w:color w:val="000000"/>
              </w:rPr>
            </w:pPr>
            <w:r w:rsidRPr="00975C5E">
              <w:rPr>
                <w:color w:val="000000"/>
              </w:rPr>
              <w:t xml:space="preserve">Number of room nights sold to </w:t>
            </w:r>
            <w:r>
              <w:rPr>
                <w:color w:val="000000"/>
              </w:rPr>
              <w:t>Albanian</w:t>
            </w:r>
            <w:r w:rsidRPr="00975C5E">
              <w:rPr>
                <w:color w:val="000000"/>
              </w:rPr>
              <w:t xml:space="preserve"> residents;</w:t>
            </w:r>
          </w:p>
          <w:p w14:paraId="17BC5388" w14:textId="77777777" w:rsidR="009D0882" w:rsidRDefault="009D0882" w:rsidP="00FE591F">
            <w:pPr>
              <w:pStyle w:val="ListParagraph"/>
              <w:numPr>
                <w:ilvl w:val="0"/>
                <w:numId w:val="2"/>
              </w:numPr>
              <w:spacing w:before="30" w:after="30"/>
              <w:rPr>
                <w:color w:val="000000"/>
              </w:rPr>
            </w:pPr>
            <w:r w:rsidRPr="009D0882">
              <w:rPr>
                <w:color w:val="000000"/>
              </w:rPr>
              <w:t>Number of bedrooms;</w:t>
            </w:r>
          </w:p>
          <w:p w14:paraId="2EDD58F5" w14:textId="77777777" w:rsidR="00960526" w:rsidRDefault="009D0882" w:rsidP="00FE591F">
            <w:pPr>
              <w:pStyle w:val="ListParagraph"/>
              <w:numPr>
                <w:ilvl w:val="0"/>
                <w:numId w:val="2"/>
              </w:numPr>
              <w:spacing w:before="30" w:after="30"/>
              <w:rPr>
                <w:color w:val="000000"/>
              </w:rPr>
            </w:pPr>
            <w:r w:rsidRPr="009D0882">
              <w:rPr>
                <w:color w:val="000000"/>
              </w:rPr>
              <w:t>Number of bed-places;</w:t>
            </w:r>
          </w:p>
          <w:p w14:paraId="3114E8E6" w14:textId="77777777" w:rsidR="00960526" w:rsidRDefault="00960526" w:rsidP="00FE591F">
            <w:pPr>
              <w:pStyle w:val="ListParagraph"/>
              <w:numPr>
                <w:ilvl w:val="0"/>
                <w:numId w:val="2"/>
              </w:numPr>
              <w:spacing w:before="30" w:after="30"/>
              <w:rPr>
                <w:color w:val="000000"/>
              </w:rPr>
            </w:pPr>
            <w:r w:rsidRPr="009D0882">
              <w:rPr>
                <w:color w:val="000000"/>
              </w:rPr>
              <w:t xml:space="preserve">The number of days that the accommodation </w:t>
            </w:r>
            <w:r w:rsidR="009D0882" w:rsidRPr="009D0882">
              <w:rPr>
                <w:color w:val="000000"/>
              </w:rPr>
              <w:t>establishment was</w:t>
            </w:r>
            <w:r w:rsidRPr="009D0882">
              <w:rPr>
                <w:color w:val="000000"/>
              </w:rPr>
              <w:t xml:space="preserve"> closed </w:t>
            </w:r>
            <w:r w:rsidRPr="009D0882">
              <w:rPr>
                <w:color w:val="000000"/>
              </w:rPr>
              <w:lastRenderedPageBreak/>
              <w:t>during</w:t>
            </w:r>
            <w:r w:rsidR="00CF02AF">
              <w:rPr>
                <w:color w:val="000000"/>
              </w:rPr>
              <w:t xml:space="preserve"> </w:t>
            </w:r>
            <w:r w:rsidRPr="009D0882">
              <w:rPr>
                <w:color w:val="000000"/>
              </w:rPr>
              <w:t>the reference month.</w:t>
            </w:r>
          </w:p>
          <w:p w14:paraId="0A3785C4" w14:textId="77777777" w:rsidR="00473EF5" w:rsidRPr="003F28F0" w:rsidRDefault="00960526" w:rsidP="00CF02AF">
            <w:pPr>
              <w:spacing w:before="120" w:after="120" w:line="240" w:lineRule="auto"/>
              <w:ind w:left="101" w:right="86"/>
              <w:jc w:val="both"/>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The collection of these variables and the calculation of capacity and occupancy levels satisfy the requirements of Annex I "Supply side- Accommodation Statistics" of European Unio</w:t>
            </w:r>
            <w:r w:rsidR="003F28F0">
              <w:rPr>
                <w:rFonts w:ascii="Times New Roman" w:eastAsia="Times New Roman" w:hAnsi="Times New Roman" w:cs="Times New Roman"/>
                <w:color w:val="000000"/>
                <w:sz w:val="24"/>
                <w:szCs w:val="24"/>
              </w:rPr>
              <w:t xml:space="preserve">n (EU) </w:t>
            </w:r>
            <w:hyperlink r:id="rId10" w:history="1">
              <w:r w:rsidR="003F28F0" w:rsidRPr="00966ACF">
                <w:rPr>
                  <w:rStyle w:val="Hyperlink"/>
                  <w:rFonts w:ascii="Times New Roman" w:eastAsia="Times New Roman" w:hAnsi="Times New Roman" w:cs="Times New Roman"/>
                  <w:sz w:val="24"/>
                  <w:szCs w:val="24"/>
                </w:rPr>
                <w:t>Regulation no. 692/2011.</w:t>
              </w:r>
            </w:hyperlink>
          </w:p>
        </w:tc>
      </w:tr>
      <w:tr w:rsidR="00473EF5" w:rsidRPr="00493D72" w14:paraId="3F8AE7F9" w14:textId="77777777" w:rsidTr="00EA1937">
        <w:trPr>
          <w:trHeight w:val="567"/>
        </w:trPr>
        <w:tc>
          <w:tcPr>
            <w:tcW w:w="2371" w:type="dxa"/>
            <w:shd w:val="clear" w:color="auto" w:fill="FFFFCC"/>
            <w:noWrap/>
            <w:vAlign w:val="center"/>
            <w:hideMark/>
          </w:tcPr>
          <w:p w14:paraId="77062ED1"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3.2. Classification system</w:t>
            </w:r>
          </w:p>
        </w:tc>
        <w:tc>
          <w:tcPr>
            <w:tcW w:w="8311" w:type="dxa"/>
            <w:shd w:val="clear" w:color="auto" w:fill="auto"/>
            <w:vAlign w:val="center"/>
          </w:tcPr>
          <w:p w14:paraId="433F0D73" w14:textId="77777777" w:rsidR="00964E3A" w:rsidRPr="0031511A" w:rsidRDefault="00170224" w:rsidP="00170224">
            <w:pPr>
              <w:spacing w:before="120" w:after="120"/>
              <w:ind w:right="86"/>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w:t>
            </w:r>
            <w:hyperlink r:id="rId11" w:history="1">
              <w:r w:rsidR="00964E3A" w:rsidRPr="0006160F">
                <w:rPr>
                  <w:rStyle w:val="Hyperlink"/>
                  <w:rFonts w:ascii="Times New Roman" w:eastAsia="Times New Roman" w:hAnsi="Times New Roman" w:cs="Times New Roman"/>
                  <w:sz w:val="24"/>
                  <w:szCs w:val="24"/>
                </w:rPr>
                <w:t>Nace Rev.2</w:t>
              </w:r>
            </w:hyperlink>
          </w:p>
          <w:p w14:paraId="64F3C2A0" w14:textId="77777777" w:rsidR="00960526" w:rsidRPr="00960526" w:rsidRDefault="00960526" w:rsidP="00CF02AF">
            <w:pPr>
              <w:spacing w:before="120" w:after="120" w:line="240" w:lineRule="auto"/>
              <w:ind w:left="101" w:right="86"/>
              <w:jc w:val="both"/>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 xml:space="preserve">Tourism accommodation establishments are classified and described in groups according to NACE Rev. 2 classification as follow: </w:t>
            </w:r>
          </w:p>
          <w:p w14:paraId="767E69C2" w14:textId="77777777" w:rsidR="006B20E3" w:rsidRPr="006B20E3" w:rsidRDefault="006B20E3" w:rsidP="006B20E3">
            <w:pPr>
              <w:spacing w:before="120" w:after="120" w:line="240" w:lineRule="auto"/>
              <w:ind w:left="101" w:right="86"/>
              <w:jc w:val="both"/>
              <w:rPr>
                <w:rFonts w:ascii="Times New Roman" w:eastAsia="Times New Roman" w:hAnsi="Times New Roman" w:cs="Times New Roman"/>
                <w:color w:val="000000"/>
                <w:sz w:val="24"/>
                <w:szCs w:val="24"/>
              </w:rPr>
            </w:pPr>
            <w:r w:rsidRPr="000A7F55">
              <w:rPr>
                <w:rStyle w:val="Emphasis"/>
              </w:rPr>
              <w:t>55.10 Hotels</w:t>
            </w:r>
            <w:r w:rsidRPr="006B20E3">
              <w:rPr>
                <w:rFonts w:ascii="Times New Roman" w:eastAsia="Times New Roman" w:hAnsi="Times New Roman" w:cs="Times New Roman"/>
                <w:color w:val="000000"/>
                <w:sz w:val="24"/>
                <w:szCs w:val="24"/>
              </w:rPr>
              <w:t xml:space="preserve"> </w:t>
            </w:r>
            <w:r w:rsidRPr="000A7F55">
              <w:rPr>
                <w:rStyle w:val="Emphasis"/>
              </w:rPr>
              <w:t>and similar accommodation.</w:t>
            </w:r>
            <w:r w:rsidRPr="006B20E3">
              <w:rPr>
                <w:rFonts w:ascii="Times New Roman" w:eastAsia="Times New Roman" w:hAnsi="Times New Roman" w:cs="Times New Roman"/>
                <w:color w:val="000000"/>
                <w:sz w:val="24"/>
                <w:szCs w:val="24"/>
              </w:rPr>
              <w:t xml:space="preserve"> This class includes accommodation provided by: hotels, resort hotels, suite/apartment hotels and motels.</w:t>
            </w:r>
          </w:p>
          <w:p w14:paraId="6AAC3E6C" w14:textId="77777777" w:rsidR="006B20E3" w:rsidRDefault="006B20E3" w:rsidP="006B20E3">
            <w:pPr>
              <w:spacing w:before="120" w:after="120" w:line="240" w:lineRule="auto"/>
              <w:ind w:left="101" w:right="86"/>
              <w:jc w:val="both"/>
              <w:rPr>
                <w:rFonts w:ascii="Times New Roman" w:eastAsia="Times New Roman" w:hAnsi="Times New Roman" w:cs="Times New Roman"/>
                <w:color w:val="000000"/>
                <w:sz w:val="24"/>
                <w:szCs w:val="24"/>
              </w:rPr>
            </w:pPr>
            <w:r w:rsidRPr="000A7F55">
              <w:rPr>
                <w:rStyle w:val="Emphasis"/>
              </w:rPr>
              <w:t>55.20 Holiday and other short-stay accommodation.</w:t>
            </w:r>
            <w:r w:rsidRPr="006B20E3">
              <w:rPr>
                <w:rFonts w:ascii="Times New Roman" w:eastAsia="Times New Roman" w:hAnsi="Times New Roman" w:cs="Times New Roman"/>
                <w:color w:val="000000"/>
                <w:sz w:val="24"/>
                <w:szCs w:val="24"/>
              </w:rPr>
              <w:t xml:space="preserve"> This class incl</w:t>
            </w:r>
            <w:r>
              <w:rPr>
                <w:rFonts w:ascii="Times New Roman" w:eastAsia="Times New Roman" w:hAnsi="Times New Roman" w:cs="Times New Roman"/>
                <w:color w:val="000000"/>
                <w:sz w:val="24"/>
                <w:szCs w:val="24"/>
              </w:rPr>
              <w:t xml:space="preserve">udes accommodation provided by: </w:t>
            </w:r>
            <w:r w:rsidRPr="006B20E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hildren and other holiday homes, visitor flats and bungalows, </w:t>
            </w:r>
            <w:r w:rsidRPr="006B20E3">
              <w:rPr>
                <w:rFonts w:ascii="Times New Roman" w:eastAsia="Times New Roman" w:hAnsi="Times New Roman" w:cs="Times New Roman"/>
                <w:color w:val="000000"/>
                <w:sz w:val="24"/>
                <w:szCs w:val="24"/>
              </w:rPr>
              <w:t>cottages and cabin</w:t>
            </w:r>
            <w:r>
              <w:rPr>
                <w:rFonts w:ascii="Times New Roman" w:eastAsia="Times New Roman" w:hAnsi="Times New Roman" w:cs="Times New Roman"/>
                <w:color w:val="000000"/>
                <w:sz w:val="24"/>
                <w:szCs w:val="24"/>
              </w:rPr>
              <w:t xml:space="preserve">s without housekeeping services, </w:t>
            </w:r>
            <w:r w:rsidRPr="006B20E3">
              <w:rPr>
                <w:rFonts w:ascii="Times New Roman" w:eastAsia="Times New Roman" w:hAnsi="Times New Roman" w:cs="Times New Roman"/>
                <w:color w:val="000000"/>
                <w:sz w:val="24"/>
                <w:szCs w:val="24"/>
              </w:rPr>
              <w:t>youth hostels and mountain refuges</w:t>
            </w:r>
            <w:r>
              <w:rPr>
                <w:rFonts w:ascii="Times New Roman" w:eastAsia="Times New Roman" w:hAnsi="Times New Roman" w:cs="Times New Roman"/>
                <w:color w:val="000000"/>
                <w:sz w:val="24"/>
                <w:szCs w:val="24"/>
              </w:rPr>
              <w:t>.</w:t>
            </w:r>
          </w:p>
          <w:p w14:paraId="6CE39451" w14:textId="77777777" w:rsidR="00964E3A" w:rsidRPr="006B20E3" w:rsidRDefault="006B20E3" w:rsidP="006B20E3">
            <w:pPr>
              <w:spacing w:before="120" w:after="120" w:line="240" w:lineRule="auto"/>
              <w:ind w:left="101" w:right="86"/>
              <w:jc w:val="both"/>
              <w:rPr>
                <w:rFonts w:ascii="Times New Roman" w:eastAsia="Times New Roman" w:hAnsi="Times New Roman" w:cs="Times New Roman"/>
                <w:color w:val="000000"/>
                <w:sz w:val="24"/>
                <w:szCs w:val="24"/>
              </w:rPr>
            </w:pPr>
            <w:r w:rsidRPr="000A7F55">
              <w:rPr>
                <w:rStyle w:val="Emphasis"/>
              </w:rPr>
              <w:t xml:space="preserve">55.30 Camping grounds, recreational vehicle parks and trailer parks. </w:t>
            </w:r>
            <w:r w:rsidRPr="006B20E3">
              <w:rPr>
                <w:rFonts w:ascii="Times New Roman" w:eastAsia="Times New Roman" w:hAnsi="Times New Roman" w:cs="Times New Roman"/>
                <w:color w:val="000000"/>
                <w:sz w:val="24"/>
                <w:szCs w:val="24"/>
              </w:rPr>
              <w:t>This class includes: provision of accommodation in campgrounds, trailer parks, recreational camps and fishing and hunting camps for short stay visitors, provision of space and facil</w:t>
            </w:r>
            <w:r w:rsidR="000A7F55">
              <w:rPr>
                <w:rFonts w:ascii="Times New Roman" w:eastAsia="Times New Roman" w:hAnsi="Times New Roman" w:cs="Times New Roman"/>
                <w:color w:val="000000"/>
                <w:sz w:val="24"/>
                <w:szCs w:val="24"/>
              </w:rPr>
              <w:t>ities for recreational vehicles.</w:t>
            </w:r>
          </w:p>
          <w:p w14:paraId="71BDD485" w14:textId="77777777" w:rsidR="00964E3A" w:rsidRPr="004D20D6" w:rsidRDefault="00D3798F" w:rsidP="004D20D6">
            <w:pPr>
              <w:spacing w:before="120" w:after="120" w:line="240" w:lineRule="auto"/>
              <w:ind w:left="101" w:right="86"/>
              <w:jc w:val="both"/>
              <w:rPr>
                <w:rFonts w:ascii="&amp;quot" w:hAnsi="&amp;quot"/>
                <w:color w:val="0000FF"/>
                <w:u w:val="single"/>
              </w:rPr>
            </w:pPr>
            <w:hyperlink r:id="rId12" w:history="1">
              <w:r w:rsidR="0014042A" w:rsidRPr="0006160F">
                <w:rPr>
                  <w:rFonts w:ascii="&amp;quot" w:hAnsi="&amp;quot"/>
                  <w:color w:val="0000FF"/>
                  <w:u w:val="single"/>
                </w:rPr>
                <w:t>NUTS</w:t>
              </w:r>
            </w:hyperlink>
            <w:r w:rsidR="00892A2D" w:rsidRPr="0006160F">
              <w:rPr>
                <w:rFonts w:ascii="&amp;quot" w:hAnsi="&amp;quot"/>
                <w:color w:val="0000FF"/>
                <w:u w:val="single"/>
              </w:rPr>
              <w:t xml:space="preserve"> II</w:t>
            </w:r>
          </w:p>
          <w:p w14:paraId="1A8EDE24" w14:textId="77777777" w:rsidR="00964E3A" w:rsidRPr="0006160F" w:rsidRDefault="006115AB" w:rsidP="006115AB">
            <w:pPr>
              <w:spacing w:before="120" w:after="120" w:line="240" w:lineRule="auto"/>
              <w:ind w:left="101" w:right="86"/>
              <w:jc w:val="both"/>
              <w:rPr>
                <w:rFonts w:ascii="Times New Roman" w:eastAsia="Times New Roman" w:hAnsi="Times New Roman" w:cs="Times New Roman"/>
                <w:sz w:val="24"/>
                <w:szCs w:val="24"/>
              </w:rPr>
            </w:pPr>
            <w:r w:rsidRPr="0006160F">
              <w:rPr>
                <w:rFonts w:ascii="Times New Roman" w:eastAsia="Times New Roman" w:hAnsi="Times New Roman" w:cs="Times New Roman"/>
                <w:sz w:val="24"/>
                <w:szCs w:val="24"/>
              </w:rPr>
              <w:t>Statistical regions at level 1, 2 and 3 are defined according to the NUTS II territorial division, which is a unified</w:t>
            </w:r>
            <w:r w:rsidR="00964E3A" w:rsidRPr="0006160F">
              <w:rPr>
                <w:rFonts w:ascii="Times New Roman" w:eastAsia="Times New Roman" w:hAnsi="Times New Roman" w:cs="Times New Roman"/>
                <w:sz w:val="24"/>
                <w:szCs w:val="24"/>
              </w:rPr>
              <w:t xml:space="preserve"> </w:t>
            </w:r>
            <w:r w:rsidRPr="0006160F">
              <w:rPr>
                <w:rFonts w:ascii="Times New Roman" w:eastAsia="Times New Roman" w:hAnsi="Times New Roman" w:cs="Times New Roman"/>
                <w:sz w:val="24"/>
                <w:szCs w:val="24"/>
              </w:rPr>
              <w:t xml:space="preserve">classification and is used as a basis for the </w:t>
            </w:r>
            <w:r w:rsidR="00964E3A" w:rsidRPr="0006160F">
              <w:rPr>
                <w:rFonts w:ascii="Times New Roman" w:eastAsia="Times New Roman" w:hAnsi="Times New Roman" w:cs="Times New Roman"/>
                <w:sz w:val="24"/>
                <w:szCs w:val="24"/>
              </w:rPr>
              <w:t xml:space="preserve"> </w:t>
            </w:r>
            <w:r w:rsidRPr="0006160F">
              <w:rPr>
                <w:rFonts w:ascii="Times New Roman" w:eastAsia="Times New Roman" w:hAnsi="Times New Roman" w:cs="Times New Roman"/>
                <w:sz w:val="24"/>
                <w:szCs w:val="24"/>
              </w:rPr>
              <w:t xml:space="preserve">collection and processing of European Regional Statistics. </w:t>
            </w:r>
          </w:p>
          <w:p w14:paraId="75ECCD3D" w14:textId="77777777" w:rsidR="006115AB" w:rsidRPr="0006160F" w:rsidRDefault="006115AB" w:rsidP="006115AB">
            <w:pPr>
              <w:spacing w:before="120" w:after="120" w:line="240" w:lineRule="auto"/>
              <w:ind w:left="101" w:right="86"/>
              <w:jc w:val="both"/>
              <w:rPr>
                <w:rFonts w:ascii="Times New Roman" w:eastAsia="Times New Roman" w:hAnsi="Times New Roman" w:cs="Times New Roman"/>
                <w:sz w:val="24"/>
                <w:szCs w:val="24"/>
              </w:rPr>
            </w:pPr>
            <w:r w:rsidRPr="0006160F">
              <w:rPr>
                <w:rFonts w:ascii="Times New Roman" w:eastAsia="Times New Roman" w:hAnsi="Times New Roman" w:cs="Times New Roman"/>
                <w:sz w:val="24"/>
                <w:szCs w:val="24"/>
              </w:rPr>
              <w:t>The information</w:t>
            </w:r>
            <w:r w:rsidR="00964E3A" w:rsidRPr="0006160F">
              <w:rPr>
                <w:rFonts w:ascii="Times New Roman" w:eastAsia="Times New Roman" w:hAnsi="Times New Roman" w:cs="Times New Roman"/>
                <w:sz w:val="24"/>
                <w:szCs w:val="24"/>
              </w:rPr>
              <w:t xml:space="preserve"> </w:t>
            </w:r>
            <w:r w:rsidRPr="0006160F">
              <w:rPr>
                <w:rFonts w:ascii="Times New Roman" w:eastAsia="Times New Roman" w:hAnsi="Times New Roman" w:cs="Times New Roman"/>
                <w:sz w:val="24"/>
                <w:szCs w:val="24"/>
              </w:rPr>
              <w:t>below includes which prefectures are in the North, Center and South region.</w:t>
            </w:r>
          </w:p>
          <w:p w14:paraId="188A85EA" w14:textId="77777777" w:rsidR="006115AB" w:rsidRPr="0006160F" w:rsidRDefault="006115AB" w:rsidP="0031511A">
            <w:pPr>
              <w:pStyle w:val="ListParagraph"/>
              <w:numPr>
                <w:ilvl w:val="0"/>
                <w:numId w:val="32"/>
              </w:numPr>
              <w:spacing w:before="120" w:after="120"/>
              <w:ind w:right="86"/>
              <w:jc w:val="both"/>
            </w:pPr>
            <w:r w:rsidRPr="0006160F">
              <w:rPr>
                <w:b/>
              </w:rPr>
              <w:t>Northern Region</w:t>
            </w:r>
            <w:r w:rsidRPr="0006160F">
              <w:t xml:space="preserve">: </w:t>
            </w:r>
            <w:proofErr w:type="spellStart"/>
            <w:r w:rsidRPr="0006160F">
              <w:t>Dibër</w:t>
            </w:r>
            <w:proofErr w:type="spellEnd"/>
            <w:r w:rsidRPr="0006160F">
              <w:t xml:space="preserve">; </w:t>
            </w:r>
            <w:proofErr w:type="spellStart"/>
            <w:r w:rsidRPr="0006160F">
              <w:t>Durrës</w:t>
            </w:r>
            <w:proofErr w:type="spellEnd"/>
            <w:r w:rsidRPr="0006160F">
              <w:t xml:space="preserve">; </w:t>
            </w:r>
            <w:proofErr w:type="spellStart"/>
            <w:r w:rsidRPr="0006160F">
              <w:t>Kukës</w:t>
            </w:r>
            <w:proofErr w:type="spellEnd"/>
            <w:r w:rsidRPr="0006160F">
              <w:t xml:space="preserve">; </w:t>
            </w:r>
            <w:proofErr w:type="spellStart"/>
            <w:r w:rsidRPr="0006160F">
              <w:t>Lezhë</w:t>
            </w:r>
            <w:proofErr w:type="spellEnd"/>
            <w:r w:rsidRPr="0006160F">
              <w:t xml:space="preserve">; </w:t>
            </w:r>
            <w:proofErr w:type="spellStart"/>
            <w:r w:rsidRPr="0006160F">
              <w:t>Shkodër</w:t>
            </w:r>
            <w:proofErr w:type="spellEnd"/>
          </w:p>
          <w:p w14:paraId="15401317" w14:textId="77777777" w:rsidR="006115AB" w:rsidRPr="0006160F" w:rsidRDefault="006115AB" w:rsidP="0031511A">
            <w:pPr>
              <w:pStyle w:val="ListParagraph"/>
              <w:numPr>
                <w:ilvl w:val="0"/>
                <w:numId w:val="32"/>
              </w:numPr>
              <w:spacing w:before="120" w:after="120"/>
              <w:ind w:right="86"/>
              <w:jc w:val="both"/>
            </w:pPr>
            <w:r w:rsidRPr="0006160F">
              <w:rPr>
                <w:b/>
              </w:rPr>
              <w:t>Centre Region</w:t>
            </w:r>
            <w:r w:rsidRPr="0006160F">
              <w:t xml:space="preserve">: </w:t>
            </w:r>
            <w:proofErr w:type="spellStart"/>
            <w:r w:rsidRPr="0006160F">
              <w:t>Elbasan</w:t>
            </w:r>
            <w:proofErr w:type="spellEnd"/>
            <w:r w:rsidRPr="0006160F">
              <w:t>; Tiranë</w:t>
            </w:r>
          </w:p>
          <w:p w14:paraId="56290BDB" w14:textId="77777777" w:rsidR="006115AB" w:rsidRPr="0006160F" w:rsidRDefault="006115AB" w:rsidP="0031511A">
            <w:pPr>
              <w:pStyle w:val="ListParagraph"/>
              <w:numPr>
                <w:ilvl w:val="0"/>
                <w:numId w:val="32"/>
              </w:numPr>
              <w:spacing w:before="120" w:after="120"/>
              <w:ind w:right="86"/>
              <w:jc w:val="both"/>
            </w:pPr>
            <w:r w:rsidRPr="0006160F">
              <w:rPr>
                <w:b/>
              </w:rPr>
              <w:t>South Region</w:t>
            </w:r>
            <w:r w:rsidRPr="0006160F">
              <w:t xml:space="preserve">: </w:t>
            </w:r>
            <w:proofErr w:type="spellStart"/>
            <w:r w:rsidRPr="0006160F">
              <w:t>Berat</w:t>
            </w:r>
            <w:proofErr w:type="spellEnd"/>
            <w:r w:rsidRPr="0006160F">
              <w:t xml:space="preserve">; </w:t>
            </w:r>
            <w:proofErr w:type="spellStart"/>
            <w:r w:rsidRPr="0006160F">
              <w:t>Fier</w:t>
            </w:r>
            <w:proofErr w:type="spellEnd"/>
            <w:r w:rsidRPr="0006160F">
              <w:t xml:space="preserve">; </w:t>
            </w:r>
            <w:proofErr w:type="spellStart"/>
            <w:r w:rsidRPr="0006160F">
              <w:t>Gjirokastër</w:t>
            </w:r>
            <w:proofErr w:type="spellEnd"/>
            <w:r w:rsidRPr="0006160F">
              <w:t xml:space="preserve">; </w:t>
            </w:r>
            <w:proofErr w:type="spellStart"/>
            <w:r w:rsidRPr="0006160F">
              <w:t>Korçë</w:t>
            </w:r>
            <w:proofErr w:type="spellEnd"/>
            <w:r w:rsidRPr="0006160F">
              <w:t xml:space="preserve">; </w:t>
            </w:r>
            <w:proofErr w:type="spellStart"/>
            <w:r w:rsidRPr="0006160F">
              <w:t>Vlorë</w:t>
            </w:r>
            <w:proofErr w:type="spellEnd"/>
          </w:p>
          <w:p w14:paraId="7FB8BABA" w14:textId="77777777" w:rsidR="0031511A" w:rsidRPr="0006160F" w:rsidRDefault="0031511A" w:rsidP="0031511A">
            <w:pPr>
              <w:pStyle w:val="ListParagraph"/>
              <w:spacing w:before="120" w:after="120"/>
              <w:ind w:left="821" w:right="86"/>
              <w:jc w:val="both"/>
            </w:pPr>
          </w:p>
          <w:p w14:paraId="6CE08088" w14:textId="77777777" w:rsidR="0031511A" w:rsidRPr="0006160F" w:rsidRDefault="0031511A" w:rsidP="0031511A">
            <w:pPr>
              <w:spacing w:before="120" w:after="120"/>
              <w:ind w:right="86"/>
              <w:jc w:val="both"/>
              <w:rPr>
                <w:rFonts w:ascii="Times New Roman" w:eastAsia="Times New Roman" w:hAnsi="Times New Roman" w:cs="Times New Roman"/>
                <w:color w:val="000000"/>
                <w:sz w:val="24"/>
                <w:szCs w:val="24"/>
              </w:rPr>
            </w:pPr>
            <w:r w:rsidRPr="0006160F">
              <w:rPr>
                <w:rFonts w:ascii="Times New Roman" w:eastAsia="Times New Roman" w:hAnsi="Times New Roman" w:cs="Times New Roman"/>
                <w:color w:val="000000"/>
                <w:sz w:val="24"/>
                <w:szCs w:val="24"/>
              </w:rPr>
              <w:t xml:space="preserve"> </w:t>
            </w:r>
            <w:r w:rsidRPr="0006160F">
              <w:rPr>
                <w:rFonts w:ascii="Times New Roman" w:eastAsia="Times New Roman" w:hAnsi="Times New Roman" w:cs="Times New Roman"/>
                <w:color w:val="000000"/>
                <w:sz w:val="24"/>
                <w:szCs w:val="24"/>
                <w:u w:val="single"/>
              </w:rPr>
              <w:t>Coastal areas</w:t>
            </w:r>
            <w:r w:rsidRPr="0006160F">
              <w:rPr>
                <w:rFonts w:ascii="Times New Roman" w:eastAsia="Times New Roman" w:hAnsi="Times New Roman" w:cs="Times New Roman"/>
                <w:color w:val="000000"/>
                <w:sz w:val="24"/>
                <w:szCs w:val="24"/>
              </w:rPr>
              <w:t xml:space="preserve"> </w:t>
            </w:r>
          </w:p>
          <w:p w14:paraId="7BAFD11F" w14:textId="77777777" w:rsidR="0031511A" w:rsidRPr="0006160F" w:rsidRDefault="0031511A" w:rsidP="0031511A">
            <w:pPr>
              <w:spacing w:before="120" w:after="120" w:line="240" w:lineRule="auto"/>
              <w:ind w:left="101" w:right="86"/>
              <w:jc w:val="both"/>
              <w:rPr>
                <w:rFonts w:ascii="Times New Roman" w:eastAsia="Times New Roman" w:hAnsi="Times New Roman" w:cs="Times New Roman"/>
                <w:color w:val="000000"/>
                <w:sz w:val="24"/>
                <w:szCs w:val="24"/>
              </w:rPr>
            </w:pPr>
            <w:r w:rsidRPr="0006160F">
              <w:rPr>
                <w:rFonts w:ascii="Times New Roman" w:eastAsia="Times New Roman" w:hAnsi="Times New Roman" w:cs="Times New Roman"/>
                <w:color w:val="000000"/>
                <w:sz w:val="24"/>
                <w:szCs w:val="24"/>
              </w:rPr>
              <w:t>Coastal areas are Local Administrative Units (LAUs) that are on or near a coastline. Coastal areas are classified according to the following two categories:</w:t>
            </w:r>
          </w:p>
          <w:p w14:paraId="22F68BDF" w14:textId="77777777" w:rsidR="0031511A" w:rsidRPr="0006160F" w:rsidRDefault="0031511A" w:rsidP="0031511A">
            <w:pPr>
              <w:pStyle w:val="ListParagraph"/>
              <w:numPr>
                <w:ilvl w:val="0"/>
                <w:numId w:val="14"/>
              </w:numPr>
              <w:spacing w:before="120" w:after="120"/>
              <w:ind w:right="86"/>
              <w:jc w:val="both"/>
            </w:pPr>
            <w:r w:rsidRPr="0006160F">
              <w:rPr>
                <w:b/>
              </w:rPr>
              <w:t>Coastal areas:</w:t>
            </w:r>
            <w:r w:rsidRPr="0006160F">
              <w:t xml:space="preserve"> LAUs bordering the coastline or LAUs having at least 50% of their surface at a distance of 10 km from the coastline;</w:t>
            </w:r>
          </w:p>
          <w:p w14:paraId="6760BC5B" w14:textId="77777777" w:rsidR="005604E4" w:rsidRPr="005604E4" w:rsidRDefault="0031511A" w:rsidP="005604E4">
            <w:pPr>
              <w:pStyle w:val="ListParagraph"/>
              <w:numPr>
                <w:ilvl w:val="0"/>
                <w:numId w:val="14"/>
              </w:numPr>
              <w:spacing w:before="120" w:after="120"/>
              <w:ind w:right="86"/>
              <w:jc w:val="both"/>
              <w:rPr>
                <w:b/>
              </w:rPr>
            </w:pPr>
            <w:r w:rsidRPr="005604E4">
              <w:rPr>
                <w:b/>
              </w:rPr>
              <w:t>Non-coastal areas:</w:t>
            </w:r>
            <w:r w:rsidRPr="0006160F">
              <w:t xml:space="preserve"> LAUs that are not "coastal areas"; which means LAUs that are not bordered by the coastline and have less than 50% of their surface at a distance of 10 km from the coastline.</w:t>
            </w:r>
          </w:p>
          <w:p w14:paraId="0526E0CE" w14:textId="77777777" w:rsidR="005604E4" w:rsidRPr="009061B8" w:rsidRDefault="005604E4" w:rsidP="005604E4">
            <w:pPr>
              <w:spacing w:before="120" w:after="120"/>
              <w:ind w:right="86"/>
              <w:jc w:val="both"/>
              <w:rPr>
                <w:rFonts w:ascii="Times New Roman" w:hAnsi="Times New Roman" w:cs="Times New Roman"/>
                <w:color w:val="FF0000"/>
                <w:sz w:val="24"/>
                <w:szCs w:val="24"/>
              </w:rPr>
            </w:pPr>
            <w:r w:rsidRPr="009061B8">
              <w:rPr>
                <w:rFonts w:ascii="Times New Roman" w:hAnsi="Times New Roman" w:cs="Times New Roman"/>
                <w:sz w:val="24"/>
                <w:szCs w:val="24"/>
              </w:rPr>
              <w:t>Additional Comments: The DEGURBA classification does not apply.</w:t>
            </w:r>
          </w:p>
        </w:tc>
      </w:tr>
      <w:tr w:rsidR="00473EF5" w:rsidRPr="00493D72" w14:paraId="500730A1" w14:textId="77777777" w:rsidTr="00EA1937">
        <w:trPr>
          <w:trHeight w:val="567"/>
        </w:trPr>
        <w:tc>
          <w:tcPr>
            <w:tcW w:w="2371" w:type="dxa"/>
            <w:shd w:val="clear" w:color="auto" w:fill="FFFFCC"/>
            <w:vAlign w:val="center"/>
            <w:hideMark/>
          </w:tcPr>
          <w:p w14:paraId="4EF20A95"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3.3. Sector coverage</w:t>
            </w:r>
          </w:p>
        </w:tc>
        <w:tc>
          <w:tcPr>
            <w:tcW w:w="8311" w:type="dxa"/>
            <w:shd w:val="clear" w:color="auto" w:fill="auto"/>
            <w:vAlign w:val="center"/>
          </w:tcPr>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078"/>
              <w:gridCol w:w="5035"/>
            </w:tblGrid>
            <w:tr w:rsidR="00940642" w:rsidRPr="006A74FA" w14:paraId="0FA61CBF" w14:textId="77777777" w:rsidTr="001671B8">
              <w:tc>
                <w:tcPr>
                  <w:tcW w:w="0" w:type="auto"/>
                  <w:vAlign w:val="center"/>
                  <w:hideMark/>
                </w:tcPr>
                <w:p w14:paraId="368CC8C7" w14:textId="77777777" w:rsidR="00940642" w:rsidRPr="006A74FA" w:rsidRDefault="00940642" w:rsidP="00166B4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3.3.1 </w:t>
                  </w:r>
                  <w:r w:rsidRPr="00C378BA">
                    <w:rPr>
                      <w:rFonts w:ascii="Times New Roman" w:eastAsia="Times New Roman" w:hAnsi="Times New Roman" w:cs="Times New Roman"/>
                      <w:color w:val="000000"/>
                      <w:sz w:val="24"/>
                      <w:szCs w:val="24"/>
                    </w:rPr>
                    <w:t>Capacity</w:t>
                  </w:r>
                  <w:r w:rsidRPr="006A74FA">
                    <w:rPr>
                      <w:rFonts w:ascii="Times New Roman" w:eastAsia="Times New Roman" w:hAnsi="Times New Roman" w:cs="Times New Roman"/>
                      <w:sz w:val="24"/>
                      <w:szCs w:val="24"/>
                    </w:rPr>
                    <w:t xml:space="preserve"> </w:t>
                  </w:r>
                </w:p>
              </w:tc>
              <w:tc>
                <w:tcPr>
                  <w:tcW w:w="0" w:type="auto"/>
                  <w:hideMark/>
                </w:tcPr>
                <w:p w14:paraId="51FF3B2E" w14:textId="77777777" w:rsidR="00940642" w:rsidRPr="006A74FA" w:rsidRDefault="00940642" w:rsidP="00166B4C">
                  <w:pPr>
                    <w:ind w:left="101" w:right="86"/>
                    <w:jc w:val="both"/>
                    <w:rPr>
                      <w:rFonts w:ascii="Times New Roman" w:eastAsia="Times New Roman" w:hAnsi="Times New Roman" w:cs="Times New Roman"/>
                      <w:color w:val="000000"/>
                      <w:sz w:val="24"/>
                      <w:szCs w:val="24"/>
                    </w:rPr>
                  </w:pPr>
                  <w:r w:rsidRPr="006A74FA">
                    <w:rPr>
                      <w:rFonts w:ascii="Times New Roman" w:eastAsia="Times New Roman" w:hAnsi="Times New Roman" w:cs="Times New Roman"/>
                      <w:color w:val="000000"/>
                      <w:sz w:val="24"/>
                      <w:szCs w:val="24"/>
                    </w:rPr>
                    <w:t>Census among units with 10 or more employees;</w:t>
                  </w:r>
                </w:p>
                <w:p w14:paraId="478E3917" w14:textId="77777777" w:rsidR="00940642" w:rsidRDefault="00940642" w:rsidP="00166B4C">
                  <w:pPr>
                    <w:ind w:left="101" w:right="86"/>
                    <w:jc w:val="both"/>
                    <w:rPr>
                      <w:rFonts w:ascii="Times New Roman" w:eastAsia="Times New Roman" w:hAnsi="Times New Roman" w:cs="Times New Roman"/>
                      <w:color w:val="000000"/>
                      <w:sz w:val="24"/>
                      <w:szCs w:val="24"/>
                    </w:rPr>
                  </w:pPr>
                  <w:r w:rsidRPr="006A74FA">
                    <w:rPr>
                      <w:rFonts w:ascii="Times New Roman" w:eastAsia="Times New Roman" w:hAnsi="Times New Roman" w:cs="Times New Roman"/>
                      <w:color w:val="000000"/>
                      <w:sz w:val="24"/>
                      <w:szCs w:val="24"/>
                    </w:rPr>
                    <w:t>A sample was taken from the remaining establishments, using stratification by size of enterprise and NACE.</w:t>
                  </w:r>
                </w:p>
                <w:p w14:paraId="3630F7FB" w14:textId="77777777" w:rsidR="00940642" w:rsidRPr="006A74FA" w:rsidRDefault="00940642" w:rsidP="00166B4C">
                  <w:pPr>
                    <w:jc w:val="both"/>
                    <w:rPr>
                      <w:rFonts w:ascii="Times New Roman" w:eastAsia="Times New Roman" w:hAnsi="Times New Roman" w:cs="Times New Roman"/>
                    </w:rPr>
                  </w:pPr>
                  <w:r w:rsidRPr="00C378BA">
                    <w:rPr>
                      <w:rFonts w:ascii="Times New Roman" w:eastAsia="Times New Roman" w:hAnsi="Times New Roman" w:cs="Times New Roman"/>
                      <w:color w:val="000000"/>
                      <w:sz w:val="24"/>
                      <w:szCs w:val="24"/>
                    </w:rPr>
                    <w:t>According to Regulation 692/2011, NACE 55.1, 55.2 and 55.3 are covered.</w:t>
                  </w:r>
                </w:p>
              </w:tc>
            </w:tr>
            <w:tr w:rsidR="00940642" w:rsidRPr="006A74FA" w14:paraId="09DFBCE5" w14:textId="77777777" w:rsidTr="001671B8">
              <w:tc>
                <w:tcPr>
                  <w:tcW w:w="0" w:type="auto"/>
                  <w:vAlign w:val="center"/>
                  <w:hideMark/>
                </w:tcPr>
                <w:p w14:paraId="72A98694" w14:textId="77777777" w:rsidR="00940642" w:rsidRPr="006A74FA" w:rsidRDefault="00940642" w:rsidP="00166B4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3.3.2 </w:t>
                  </w:r>
                  <w:r w:rsidRPr="00C378BA">
                    <w:rPr>
                      <w:rFonts w:ascii="Times New Roman" w:eastAsia="Times New Roman" w:hAnsi="Times New Roman" w:cs="Times New Roman"/>
                      <w:color w:val="000000"/>
                      <w:sz w:val="24"/>
                      <w:szCs w:val="24"/>
                    </w:rPr>
                    <w:t>Occupancy</w:t>
                  </w:r>
                </w:p>
              </w:tc>
              <w:tc>
                <w:tcPr>
                  <w:tcW w:w="0" w:type="auto"/>
                  <w:hideMark/>
                </w:tcPr>
                <w:p w14:paraId="6C9CC8A2" w14:textId="77777777" w:rsidR="00940642" w:rsidRPr="006A74FA" w:rsidRDefault="00940642" w:rsidP="00166B4C">
                  <w:pPr>
                    <w:ind w:left="101" w:right="86"/>
                    <w:jc w:val="both"/>
                    <w:rPr>
                      <w:rFonts w:ascii="Times New Roman" w:eastAsia="Times New Roman" w:hAnsi="Times New Roman" w:cs="Times New Roman"/>
                      <w:color w:val="000000"/>
                      <w:sz w:val="24"/>
                      <w:szCs w:val="24"/>
                    </w:rPr>
                  </w:pPr>
                  <w:r w:rsidRPr="006A74FA">
                    <w:rPr>
                      <w:rFonts w:ascii="Times New Roman" w:eastAsia="Times New Roman" w:hAnsi="Times New Roman" w:cs="Times New Roman"/>
                      <w:color w:val="000000"/>
                      <w:sz w:val="24"/>
                      <w:szCs w:val="24"/>
                    </w:rPr>
                    <w:t>Census among units with 10 or more employees;</w:t>
                  </w:r>
                </w:p>
                <w:p w14:paraId="55C9EC35" w14:textId="77777777" w:rsidR="00966ACF" w:rsidRDefault="00940642" w:rsidP="00166B4C">
                  <w:pPr>
                    <w:ind w:left="101" w:right="86"/>
                    <w:jc w:val="both"/>
                    <w:rPr>
                      <w:rFonts w:ascii="Times New Roman" w:eastAsia="Times New Roman" w:hAnsi="Times New Roman" w:cs="Times New Roman"/>
                      <w:color w:val="000000"/>
                      <w:sz w:val="24"/>
                      <w:szCs w:val="24"/>
                    </w:rPr>
                  </w:pPr>
                  <w:r w:rsidRPr="006A74FA">
                    <w:rPr>
                      <w:rFonts w:ascii="Times New Roman" w:eastAsia="Times New Roman" w:hAnsi="Times New Roman" w:cs="Times New Roman"/>
                      <w:color w:val="000000"/>
                      <w:sz w:val="24"/>
                      <w:szCs w:val="24"/>
                    </w:rPr>
                    <w:t>A sample was taken from the remaining establishments, using stratification by size of enterprise and NACE.</w:t>
                  </w:r>
                </w:p>
                <w:p w14:paraId="3E7782BF" w14:textId="77777777" w:rsidR="00940642" w:rsidRPr="00966ACF" w:rsidRDefault="00940642" w:rsidP="00166B4C">
                  <w:pPr>
                    <w:ind w:left="101" w:right="86"/>
                    <w:jc w:val="both"/>
                    <w:rPr>
                      <w:rFonts w:ascii="Times New Roman" w:eastAsia="Times New Roman" w:hAnsi="Times New Roman" w:cs="Times New Roman"/>
                      <w:color w:val="000000"/>
                      <w:sz w:val="24"/>
                      <w:szCs w:val="24"/>
                    </w:rPr>
                  </w:pPr>
                  <w:r w:rsidRPr="00C378BA">
                    <w:rPr>
                      <w:rFonts w:ascii="Times New Roman" w:eastAsia="Times New Roman" w:hAnsi="Times New Roman" w:cs="Times New Roman"/>
                      <w:color w:val="000000"/>
                      <w:sz w:val="24"/>
                      <w:szCs w:val="24"/>
                    </w:rPr>
                    <w:t>According to Regulation 692/2011, NACE 55.1, 55.2 and 55.3 are covered.</w:t>
                  </w:r>
                </w:p>
              </w:tc>
            </w:tr>
            <w:tr w:rsidR="00940642" w:rsidRPr="006A74FA" w14:paraId="65D375E3" w14:textId="77777777" w:rsidTr="001671B8">
              <w:tc>
                <w:tcPr>
                  <w:tcW w:w="0" w:type="auto"/>
                  <w:vAlign w:val="center"/>
                  <w:hideMark/>
                </w:tcPr>
                <w:p w14:paraId="675E590F" w14:textId="77777777" w:rsidR="00940642" w:rsidRPr="006A74FA" w:rsidRDefault="00940642" w:rsidP="001671B8">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6A74FA">
                    <w:rPr>
                      <w:rFonts w:ascii="Times New Roman" w:eastAsia="Times New Roman" w:hAnsi="Times New Roman" w:cs="Times New Roman"/>
                      <w:sz w:val="24"/>
                      <w:szCs w:val="24"/>
                    </w:rPr>
                    <w:t xml:space="preserve">.3 </w:t>
                  </w:r>
                  <w:r w:rsidRPr="00802D9E">
                    <w:rPr>
                      <w:rFonts w:ascii="Times New Roman" w:eastAsia="Times New Roman" w:hAnsi="Times New Roman" w:cs="Times New Roman"/>
                      <w:sz w:val="24"/>
                      <w:szCs w:val="24"/>
                    </w:rPr>
                    <w:t>Additional comments (if deviations from the Regulation)</w:t>
                  </w:r>
                </w:p>
              </w:tc>
              <w:tc>
                <w:tcPr>
                  <w:tcW w:w="0" w:type="auto"/>
                  <w:hideMark/>
                </w:tcPr>
                <w:p w14:paraId="298B734F" w14:textId="77777777" w:rsidR="00940642" w:rsidRPr="006A74FA" w:rsidRDefault="00940642" w:rsidP="00940642">
                  <w:pPr>
                    <w:spacing w:before="30" w:after="30"/>
                    <w:jc w:val="both"/>
                    <w:rPr>
                      <w:rFonts w:ascii="Times New Roman" w:eastAsia="Times New Roman" w:hAnsi="Times New Roman" w:cs="Times New Roman"/>
                    </w:rPr>
                  </w:pPr>
                </w:p>
              </w:tc>
            </w:tr>
          </w:tbl>
          <w:p w14:paraId="7C5E7DA5" w14:textId="77777777" w:rsidR="00473EF5" w:rsidRPr="00CF02AF" w:rsidRDefault="00473EF5" w:rsidP="00CF02AF">
            <w:pPr>
              <w:spacing w:before="120" w:after="120" w:line="240" w:lineRule="auto"/>
              <w:ind w:left="101" w:right="86"/>
              <w:jc w:val="both"/>
              <w:rPr>
                <w:rFonts w:ascii="Times New Roman" w:eastAsia="Times New Roman" w:hAnsi="Times New Roman" w:cs="Times New Roman"/>
                <w:color w:val="000000"/>
                <w:sz w:val="24"/>
                <w:szCs w:val="24"/>
              </w:rPr>
            </w:pPr>
          </w:p>
        </w:tc>
      </w:tr>
      <w:tr w:rsidR="00473EF5" w:rsidRPr="00493D72" w14:paraId="1E9E8881" w14:textId="77777777" w:rsidTr="00EA1937">
        <w:trPr>
          <w:trHeight w:val="567"/>
        </w:trPr>
        <w:tc>
          <w:tcPr>
            <w:tcW w:w="2371" w:type="dxa"/>
            <w:shd w:val="clear" w:color="auto" w:fill="FFFFCC"/>
            <w:vAlign w:val="center"/>
            <w:hideMark/>
          </w:tcPr>
          <w:p w14:paraId="3EE17CE9"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3.4. Statistical concepts and definitons</w:t>
            </w:r>
          </w:p>
        </w:tc>
        <w:tc>
          <w:tcPr>
            <w:tcW w:w="8311" w:type="dxa"/>
            <w:shd w:val="clear" w:color="auto" w:fill="auto"/>
            <w:vAlign w:val="center"/>
          </w:tcPr>
          <w:p w14:paraId="6B81CA1D" w14:textId="77777777" w:rsidR="00473EF5" w:rsidRPr="00166B4C" w:rsidRDefault="009053AA" w:rsidP="00CF4BC0">
            <w:pPr>
              <w:spacing w:before="120" w:after="120" w:line="240" w:lineRule="auto"/>
              <w:ind w:left="101" w:right="86"/>
              <w:jc w:val="both"/>
              <w:rPr>
                <w:rFonts w:ascii="Times New Roman" w:eastAsia="Times New Roman" w:hAnsi="Times New Roman" w:cs="Times New Roman"/>
                <w:sz w:val="24"/>
                <w:szCs w:val="24"/>
              </w:rPr>
            </w:pPr>
            <w:r w:rsidRPr="00166B4C">
              <w:rPr>
                <w:rFonts w:ascii="Times New Roman" w:eastAsia="Times New Roman" w:hAnsi="Times New Roman" w:cs="Times New Roman"/>
                <w:noProof/>
                <w:color w:val="000000"/>
                <w:sz w:val="24"/>
                <w:szCs w:val="24"/>
                <w:lang w:val="sq-AL" w:eastAsia="sq-AL"/>
              </w:rPr>
              <w:t>Statistical concepts and definitons</w:t>
            </w:r>
            <w:r w:rsidR="00964E3A" w:rsidRPr="00166B4C">
              <w:rPr>
                <w:rFonts w:ascii="Times New Roman" w:eastAsia="Times New Roman" w:hAnsi="Times New Roman" w:cs="Times New Roman"/>
                <w:noProof/>
                <w:color w:val="000000"/>
                <w:sz w:val="24"/>
                <w:szCs w:val="24"/>
                <w:lang w:val="sq-AL" w:eastAsia="sq-AL"/>
              </w:rPr>
              <w:t xml:space="preserve"> are based on </w:t>
            </w:r>
            <w:hyperlink r:id="rId13" w:tgtFrame="_blank" w:history="1">
              <w:r w:rsidR="00960526" w:rsidRPr="00166B4C">
                <w:rPr>
                  <w:rFonts w:ascii="Times New Roman" w:eastAsia="Times New Roman" w:hAnsi="Times New Roman" w:cs="Times New Roman"/>
                  <w:sz w:val="24"/>
                  <w:szCs w:val="24"/>
                </w:rPr>
                <w:t>Regulation 692/2011</w:t>
              </w:r>
            </w:hyperlink>
            <w:r w:rsidR="00960526" w:rsidRPr="00166B4C">
              <w:rPr>
                <w:rFonts w:ascii="Times New Roman" w:eastAsia="Times New Roman" w:hAnsi="Times New Roman" w:cs="Times New Roman"/>
                <w:sz w:val="24"/>
                <w:szCs w:val="24"/>
              </w:rPr>
              <w:t xml:space="preserve"> and </w:t>
            </w:r>
            <w:hyperlink r:id="rId14" w:history="1">
              <w:r w:rsidR="00960526" w:rsidRPr="00166B4C">
                <w:rPr>
                  <w:rStyle w:val="Hyperlink"/>
                  <w:rFonts w:ascii="Times New Roman" w:eastAsia="Times New Roman" w:hAnsi="Times New Roman" w:cs="Times New Roman"/>
                  <w:sz w:val="24"/>
                  <w:szCs w:val="24"/>
                </w:rPr>
                <w:t>Methodological Manual for Tourism Statistics</w:t>
              </w:r>
            </w:hyperlink>
            <w:r w:rsidR="00964E3A" w:rsidRPr="00166B4C">
              <w:rPr>
                <w:rFonts w:ascii="Times New Roman" w:eastAsia="Times New Roman" w:hAnsi="Times New Roman" w:cs="Times New Roman"/>
                <w:sz w:val="24"/>
                <w:szCs w:val="24"/>
              </w:rPr>
              <w:t>.</w:t>
            </w:r>
          </w:p>
          <w:p w14:paraId="6D33A1B6" w14:textId="77777777" w:rsidR="00CF4BC0" w:rsidRPr="00166B4C" w:rsidRDefault="00CF4BC0" w:rsidP="00CF4BC0">
            <w:pPr>
              <w:spacing w:before="120" w:after="120" w:line="240" w:lineRule="auto"/>
              <w:ind w:left="101" w:right="86"/>
              <w:jc w:val="both"/>
              <w:rPr>
                <w:rFonts w:ascii="Times New Roman" w:eastAsia="Times New Roman" w:hAnsi="Times New Roman" w:cs="Times New Roman"/>
                <w:b/>
                <w:color w:val="000000"/>
                <w:sz w:val="24"/>
                <w:szCs w:val="24"/>
                <w:u w:val="single"/>
              </w:rPr>
            </w:pPr>
            <w:r w:rsidRPr="00166B4C">
              <w:rPr>
                <w:rFonts w:ascii="Times New Roman" w:eastAsia="Times New Roman" w:hAnsi="Times New Roman" w:cs="Times New Roman"/>
                <w:b/>
                <w:color w:val="000000"/>
                <w:sz w:val="24"/>
                <w:szCs w:val="24"/>
                <w:u w:val="single"/>
              </w:rPr>
              <w:t>Definitions:</w:t>
            </w:r>
          </w:p>
          <w:p w14:paraId="70CFA199" w14:textId="77777777" w:rsidR="00966ACF" w:rsidRPr="00166B4C" w:rsidRDefault="00966ACF" w:rsidP="00966ACF">
            <w:pPr>
              <w:spacing w:before="120" w:after="120" w:line="240" w:lineRule="auto"/>
              <w:ind w:left="101" w:right="86"/>
              <w:jc w:val="both"/>
              <w:rPr>
                <w:rFonts w:ascii="Times New Roman" w:eastAsia="Times New Roman" w:hAnsi="Times New Roman" w:cs="Times New Roman"/>
                <w:color w:val="000000"/>
                <w:sz w:val="24"/>
                <w:szCs w:val="24"/>
              </w:rPr>
            </w:pPr>
            <w:r w:rsidRPr="00166B4C">
              <w:rPr>
                <w:rFonts w:ascii="Times New Roman" w:eastAsia="Times New Roman" w:hAnsi="Times New Roman" w:cs="Times New Roman"/>
                <w:color w:val="000000"/>
                <w:sz w:val="24"/>
                <w:szCs w:val="24"/>
              </w:rPr>
              <w:t>Accommodation establishments in accommodation statistics includes all tourist accommodation establishments providing, as a paid service (although the price might be partially or fully subsidized), short-term or short-stay accommodation services.</w:t>
            </w:r>
          </w:p>
          <w:p w14:paraId="68776CBB" w14:textId="77777777" w:rsidR="00CF4BC0" w:rsidRPr="00166B4C" w:rsidRDefault="00966ACF" w:rsidP="00CF4BC0">
            <w:pPr>
              <w:spacing w:before="120" w:after="120" w:line="240" w:lineRule="auto"/>
              <w:ind w:left="101" w:right="86"/>
              <w:jc w:val="both"/>
              <w:rPr>
                <w:rFonts w:ascii="Times New Roman" w:eastAsia="Times New Roman" w:hAnsi="Times New Roman" w:cs="Times New Roman"/>
                <w:color w:val="000000"/>
                <w:sz w:val="24"/>
                <w:szCs w:val="24"/>
              </w:rPr>
            </w:pPr>
            <w:r w:rsidRPr="00166B4C">
              <w:rPr>
                <w:rFonts w:ascii="Times New Roman" w:eastAsia="Times New Roman" w:hAnsi="Times New Roman" w:cs="Times New Roman"/>
                <w:b/>
                <w:color w:val="000000"/>
                <w:sz w:val="24"/>
                <w:szCs w:val="24"/>
              </w:rPr>
              <w:t>Bed</w:t>
            </w:r>
            <w:r w:rsidR="00CF4BC0" w:rsidRPr="00166B4C">
              <w:rPr>
                <w:rFonts w:ascii="Times New Roman" w:eastAsia="Times New Roman" w:hAnsi="Times New Roman" w:cs="Times New Roman"/>
                <w:b/>
                <w:color w:val="000000"/>
                <w:sz w:val="24"/>
                <w:szCs w:val="24"/>
              </w:rPr>
              <w:t>room:</w:t>
            </w:r>
            <w:r w:rsidR="00CF4BC0" w:rsidRPr="00166B4C">
              <w:rPr>
                <w:rFonts w:ascii="Times New Roman" w:eastAsia="Times New Roman" w:hAnsi="Times New Roman" w:cs="Times New Roman"/>
                <w:color w:val="000000"/>
                <w:sz w:val="24"/>
                <w:szCs w:val="24"/>
              </w:rPr>
              <w:t xml:space="preserve"> a bedroom in an accommodation establishment or dwelling is the unit formed by one room or groups of</w:t>
            </w:r>
            <w:r w:rsidR="00964E3A" w:rsidRPr="00166B4C">
              <w:rPr>
                <w:rFonts w:ascii="Times New Roman" w:eastAsia="Times New Roman" w:hAnsi="Times New Roman" w:cs="Times New Roman"/>
                <w:color w:val="000000"/>
                <w:sz w:val="24"/>
                <w:szCs w:val="24"/>
              </w:rPr>
              <w:t xml:space="preserve"> </w:t>
            </w:r>
            <w:r w:rsidR="00CF4BC0" w:rsidRPr="00166B4C">
              <w:rPr>
                <w:rFonts w:ascii="Times New Roman" w:eastAsia="Times New Roman" w:hAnsi="Times New Roman" w:cs="Times New Roman"/>
                <w:color w:val="000000"/>
                <w:sz w:val="24"/>
                <w:szCs w:val="24"/>
              </w:rPr>
              <w:t>rooms which are rented by tourists as a whole (and constituting an indivisible rental).</w:t>
            </w:r>
          </w:p>
          <w:p w14:paraId="48932F67" w14:textId="77777777" w:rsidR="00CF4BC0" w:rsidRPr="00166B4C" w:rsidRDefault="00CF4BC0" w:rsidP="00CF4BC0">
            <w:pPr>
              <w:spacing w:before="120" w:after="120" w:line="240" w:lineRule="auto"/>
              <w:ind w:left="101" w:right="86"/>
              <w:jc w:val="both"/>
              <w:rPr>
                <w:rFonts w:ascii="Times New Roman" w:eastAsia="Times New Roman" w:hAnsi="Times New Roman" w:cs="Times New Roman"/>
                <w:color w:val="000000"/>
                <w:sz w:val="24"/>
                <w:szCs w:val="24"/>
              </w:rPr>
            </w:pPr>
            <w:r w:rsidRPr="00166B4C">
              <w:rPr>
                <w:rFonts w:ascii="Times New Roman" w:eastAsia="Times New Roman" w:hAnsi="Times New Roman" w:cs="Times New Roman"/>
                <w:b/>
                <w:color w:val="000000"/>
                <w:sz w:val="24"/>
                <w:szCs w:val="24"/>
              </w:rPr>
              <w:t>Bed place:</w:t>
            </w:r>
            <w:r w:rsidRPr="00166B4C">
              <w:rPr>
                <w:rFonts w:ascii="Times New Roman" w:eastAsia="Times New Roman" w:hAnsi="Times New Roman" w:cs="Times New Roman"/>
                <w:color w:val="000000"/>
                <w:sz w:val="24"/>
                <w:szCs w:val="24"/>
              </w:rPr>
              <w:t xml:space="preserve"> the number of bed places in a tourist accommodation establishment is determined by the number of persons</w:t>
            </w:r>
            <w:r w:rsidR="00964E3A" w:rsidRPr="00166B4C">
              <w:rPr>
                <w:rFonts w:ascii="Times New Roman" w:eastAsia="Times New Roman" w:hAnsi="Times New Roman" w:cs="Times New Roman"/>
                <w:color w:val="000000"/>
                <w:sz w:val="24"/>
                <w:szCs w:val="24"/>
              </w:rPr>
              <w:t xml:space="preserve"> </w:t>
            </w:r>
            <w:r w:rsidRPr="00166B4C">
              <w:rPr>
                <w:rFonts w:ascii="Times New Roman" w:eastAsia="Times New Roman" w:hAnsi="Times New Roman" w:cs="Times New Roman"/>
                <w:color w:val="000000"/>
                <w:sz w:val="24"/>
                <w:szCs w:val="24"/>
              </w:rPr>
              <w:t>who can stay overnight in the beds set up in the establishment, ignoring any extra beds that may be set up upon</w:t>
            </w:r>
            <w:r w:rsidR="00964E3A" w:rsidRPr="00166B4C">
              <w:rPr>
                <w:rFonts w:ascii="Times New Roman" w:eastAsia="Times New Roman" w:hAnsi="Times New Roman" w:cs="Times New Roman"/>
                <w:color w:val="000000"/>
                <w:sz w:val="24"/>
                <w:szCs w:val="24"/>
              </w:rPr>
              <w:t xml:space="preserve"> </w:t>
            </w:r>
            <w:r w:rsidRPr="00166B4C">
              <w:rPr>
                <w:rFonts w:ascii="Times New Roman" w:eastAsia="Times New Roman" w:hAnsi="Times New Roman" w:cs="Times New Roman"/>
                <w:color w:val="000000"/>
                <w:sz w:val="24"/>
                <w:szCs w:val="24"/>
              </w:rPr>
              <w:t>customer request. The term bed place applies to a single bed; a double bed is counted as two bed places.</w:t>
            </w:r>
          </w:p>
          <w:p w14:paraId="518E6AB8" w14:textId="77777777" w:rsidR="00CF4BC0" w:rsidRPr="00166B4C" w:rsidRDefault="00CF4BC0" w:rsidP="00CF4BC0">
            <w:pPr>
              <w:spacing w:before="120" w:after="120" w:line="240" w:lineRule="auto"/>
              <w:ind w:left="101" w:right="86"/>
              <w:jc w:val="both"/>
              <w:rPr>
                <w:rFonts w:ascii="Times New Roman" w:eastAsia="Times New Roman" w:hAnsi="Times New Roman" w:cs="Times New Roman"/>
                <w:color w:val="000000"/>
                <w:sz w:val="24"/>
                <w:szCs w:val="24"/>
              </w:rPr>
            </w:pPr>
            <w:r w:rsidRPr="00166B4C">
              <w:rPr>
                <w:rFonts w:ascii="Times New Roman" w:eastAsia="Times New Roman" w:hAnsi="Times New Roman" w:cs="Times New Roman"/>
                <w:b/>
                <w:color w:val="000000"/>
                <w:sz w:val="24"/>
                <w:szCs w:val="24"/>
              </w:rPr>
              <w:t>An arrival</w:t>
            </w:r>
            <w:r w:rsidRPr="00166B4C">
              <w:rPr>
                <w:rFonts w:ascii="Times New Roman" w:eastAsia="Times New Roman" w:hAnsi="Times New Roman" w:cs="Times New Roman"/>
                <w:color w:val="000000"/>
                <w:sz w:val="24"/>
                <w:szCs w:val="24"/>
              </w:rPr>
              <w:t xml:space="preserve"> is defined as a person who stays at least one night in the hotel, children included.</w:t>
            </w:r>
          </w:p>
          <w:p w14:paraId="5FA0E8B0" w14:textId="77777777" w:rsidR="00CF4BC0" w:rsidRPr="00166B4C" w:rsidRDefault="00CF4BC0" w:rsidP="00CF4BC0">
            <w:pPr>
              <w:spacing w:before="120" w:after="120" w:line="240" w:lineRule="auto"/>
              <w:ind w:left="101" w:right="86"/>
              <w:jc w:val="both"/>
              <w:rPr>
                <w:rFonts w:ascii="Times New Roman" w:eastAsia="Times New Roman" w:hAnsi="Times New Roman" w:cs="Times New Roman"/>
                <w:color w:val="000000"/>
                <w:sz w:val="24"/>
                <w:szCs w:val="24"/>
              </w:rPr>
            </w:pPr>
            <w:r w:rsidRPr="00166B4C">
              <w:rPr>
                <w:rFonts w:ascii="Times New Roman" w:eastAsia="Times New Roman" w:hAnsi="Times New Roman" w:cs="Times New Roman"/>
                <w:b/>
                <w:color w:val="000000"/>
                <w:sz w:val="24"/>
                <w:szCs w:val="24"/>
              </w:rPr>
              <w:t>Resident:</w:t>
            </w:r>
            <w:r w:rsidRPr="00166B4C">
              <w:rPr>
                <w:rFonts w:ascii="Times New Roman" w:eastAsia="Times New Roman" w:hAnsi="Times New Roman" w:cs="Times New Roman"/>
                <w:color w:val="000000"/>
                <w:sz w:val="24"/>
                <w:szCs w:val="24"/>
              </w:rPr>
              <w:t xml:space="preserve"> is considered a person who has resided in Albania for more than 12 consecutive months.</w:t>
            </w:r>
          </w:p>
          <w:p w14:paraId="3B0B8B98" w14:textId="77777777" w:rsidR="00CF4BC0" w:rsidRPr="00166B4C" w:rsidRDefault="00CF4BC0" w:rsidP="00CF4BC0">
            <w:pPr>
              <w:spacing w:before="120" w:after="120" w:line="240" w:lineRule="auto"/>
              <w:ind w:left="101" w:right="86"/>
              <w:jc w:val="both"/>
              <w:rPr>
                <w:rFonts w:ascii="Times New Roman" w:eastAsia="Times New Roman" w:hAnsi="Times New Roman" w:cs="Times New Roman"/>
                <w:color w:val="000000"/>
                <w:sz w:val="24"/>
                <w:szCs w:val="24"/>
              </w:rPr>
            </w:pPr>
            <w:r w:rsidRPr="00166B4C">
              <w:rPr>
                <w:rFonts w:ascii="Times New Roman" w:eastAsia="Times New Roman" w:hAnsi="Times New Roman" w:cs="Times New Roman"/>
                <w:b/>
                <w:color w:val="000000"/>
                <w:sz w:val="24"/>
                <w:szCs w:val="24"/>
              </w:rPr>
              <w:t>Non-Resident:</w:t>
            </w:r>
            <w:r w:rsidRPr="00166B4C">
              <w:rPr>
                <w:rFonts w:ascii="Times New Roman" w:eastAsia="Times New Roman" w:hAnsi="Times New Roman" w:cs="Times New Roman"/>
                <w:color w:val="000000"/>
                <w:sz w:val="24"/>
                <w:szCs w:val="24"/>
              </w:rPr>
              <w:t xml:space="preserve"> is considered a person who has not resided in Albania for more than 12 consecutive months.</w:t>
            </w:r>
          </w:p>
          <w:p w14:paraId="44F71006" w14:textId="77777777" w:rsidR="00CF4BC0" w:rsidRPr="00166B4C" w:rsidRDefault="00CF4BC0" w:rsidP="00CF4BC0">
            <w:pPr>
              <w:spacing w:before="120" w:after="120" w:line="240" w:lineRule="auto"/>
              <w:ind w:left="101" w:right="86"/>
              <w:jc w:val="both"/>
              <w:rPr>
                <w:rFonts w:ascii="Times New Roman" w:eastAsia="Times New Roman" w:hAnsi="Times New Roman" w:cs="Times New Roman"/>
                <w:sz w:val="24"/>
                <w:szCs w:val="24"/>
              </w:rPr>
            </w:pPr>
            <w:r w:rsidRPr="00166B4C">
              <w:rPr>
                <w:rFonts w:ascii="Times New Roman" w:eastAsia="Times New Roman" w:hAnsi="Times New Roman" w:cs="Times New Roman"/>
                <w:b/>
                <w:color w:val="000000"/>
                <w:sz w:val="24"/>
                <w:szCs w:val="24"/>
              </w:rPr>
              <w:t>A night spent</w:t>
            </w:r>
            <w:r w:rsidRPr="00166B4C">
              <w:rPr>
                <w:rFonts w:ascii="Times New Roman" w:eastAsia="Times New Roman" w:hAnsi="Times New Roman" w:cs="Times New Roman"/>
                <w:color w:val="000000"/>
                <w:sz w:val="24"/>
                <w:szCs w:val="24"/>
              </w:rPr>
              <w:t xml:space="preserve"> (or overnight stay) is each night a guest / tourist (resident or non-resident) actually spends (sleeps or</w:t>
            </w:r>
            <w:r w:rsidR="00964E3A" w:rsidRPr="00166B4C">
              <w:rPr>
                <w:rFonts w:ascii="Times New Roman" w:eastAsia="Times New Roman" w:hAnsi="Times New Roman" w:cs="Times New Roman"/>
                <w:color w:val="000000"/>
                <w:sz w:val="24"/>
                <w:szCs w:val="24"/>
              </w:rPr>
              <w:t xml:space="preserve"> </w:t>
            </w:r>
            <w:r w:rsidRPr="00166B4C">
              <w:rPr>
                <w:rFonts w:ascii="Times New Roman" w:eastAsia="Times New Roman" w:hAnsi="Times New Roman" w:cs="Times New Roman"/>
                <w:color w:val="000000"/>
                <w:sz w:val="24"/>
                <w:szCs w:val="24"/>
              </w:rPr>
              <w:t xml:space="preserve">stays) in a tourist </w:t>
            </w:r>
            <w:r w:rsidRPr="00166B4C">
              <w:rPr>
                <w:rFonts w:ascii="Times New Roman" w:eastAsia="Times New Roman" w:hAnsi="Times New Roman" w:cs="Times New Roman"/>
                <w:sz w:val="24"/>
                <w:szCs w:val="24"/>
              </w:rPr>
              <w:t>accommodation establishment or non-rented accommodation.</w:t>
            </w:r>
          </w:p>
          <w:p w14:paraId="552E8CCC" w14:textId="77777777" w:rsidR="00CF4BC0" w:rsidRPr="00166B4C" w:rsidRDefault="00CF4BC0" w:rsidP="005F3C98">
            <w:pPr>
              <w:spacing w:before="120" w:after="120" w:line="240" w:lineRule="auto"/>
              <w:ind w:left="101" w:right="86"/>
              <w:jc w:val="both"/>
              <w:rPr>
                <w:rFonts w:ascii="Times New Roman" w:eastAsia="Times New Roman" w:hAnsi="Times New Roman" w:cs="Times New Roman"/>
                <w:color w:val="000000"/>
                <w:sz w:val="24"/>
                <w:szCs w:val="24"/>
              </w:rPr>
            </w:pPr>
            <w:r w:rsidRPr="00166B4C">
              <w:rPr>
                <w:rFonts w:ascii="Times New Roman" w:eastAsia="Times New Roman" w:hAnsi="Times New Roman" w:cs="Times New Roman"/>
                <w:b/>
                <w:color w:val="000000"/>
                <w:sz w:val="24"/>
                <w:szCs w:val="24"/>
              </w:rPr>
              <w:t xml:space="preserve">The </w:t>
            </w:r>
            <w:r w:rsidR="00966ACF" w:rsidRPr="00166B4C">
              <w:rPr>
                <w:rFonts w:ascii="Times New Roman" w:eastAsia="Times New Roman" w:hAnsi="Times New Roman" w:cs="Times New Roman"/>
                <w:b/>
                <w:color w:val="000000"/>
                <w:sz w:val="24"/>
                <w:szCs w:val="24"/>
              </w:rPr>
              <w:t xml:space="preserve">net </w:t>
            </w:r>
            <w:r w:rsidRPr="00166B4C">
              <w:rPr>
                <w:rFonts w:ascii="Times New Roman" w:eastAsia="Times New Roman" w:hAnsi="Times New Roman" w:cs="Times New Roman"/>
                <w:b/>
                <w:color w:val="000000"/>
                <w:sz w:val="24"/>
                <w:szCs w:val="24"/>
              </w:rPr>
              <w:t xml:space="preserve">occupancy rate of bed </w:t>
            </w:r>
            <w:r w:rsidR="00966ACF" w:rsidRPr="00166B4C">
              <w:rPr>
                <w:rFonts w:ascii="Times New Roman" w:eastAsia="Times New Roman" w:hAnsi="Times New Roman" w:cs="Times New Roman"/>
                <w:b/>
                <w:color w:val="000000"/>
                <w:sz w:val="24"/>
                <w:szCs w:val="24"/>
              </w:rPr>
              <w:t>places</w:t>
            </w:r>
            <m:oMath>
              <m:r>
                <m:rPr>
                  <m:sty m:val="p"/>
                </m:rPr>
                <w:rPr>
                  <w:rFonts w:ascii="Cambria Math" w:eastAsia="Times New Roman" w:hAnsi="Cambria Math" w:cs="Cambria Math"/>
                  <w:color w:val="000000"/>
                  <w:sz w:val="24"/>
                  <w:szCs w:val="24"/>
                </w:rPr>
                <m:t>=</m:t>
              </m:r>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Cambria Math"/>
                      <w:color w:val="000000"/>
                      <w:sz w:val="24"/>
                      <w:szCs w:val="24"/>
                    </w:rPr>
                    <m:t xml:space="preserve">Number of nights spent </m:t>
                  </m:r>
                </m:num>
                <m:den>
                  <m:r>
                    <m:rPr>
                      <m:sty m:val="p"/>
                    </m:rPr>
                    <w:rPr>
                      <w:rFonts w:ascii="Cambria Math" w:eastAsia="Times New Roman" w:hAnsi="Cambria Math" w:cs="Cambria Math"/>
                      <w:color w:val="000000"/>
                      <w:sz w:val="24"/>
                      <w:szCs w:val="24"/>
                    </w:rPr>
                    <m:t>Number of available bed places</m:t>
                  </m:r>
                </m:den>
              </m:f>
              <m:r>
                <w:rPr>
                  <w:rFonts w:ascii="Cambria Math" w:eastAsia="Times New Roman" w:hAnsi="Cambria Math" w:cs="Times New Roman"/>
                  <w:color w:val="000000"/>
                  <w:sz w:val="24"/>
                  <w:szCs w:val="24"/>
                </w:rPr>
                <m:t>*100</m:t>
              </m:r>
            </m:oMath>
            <w:r w:rsidR="00C70D0C" w:rsidRPr="00166B4C">
              <w:rPr>
                <w:rFonts w:ascii="Times New Roman" w:eastAsia="Times New Roman" w:hAnsi="Times New Roman" w:cs="Times New Roman"/>
                <w:b/>
                <w:color w:val="000000"/>
                <w:sz w:val="24"/>
                <w:szCs w:val="24"/>
              </w:rPr>
              <w:t xml:space="preserve">, </w:t>
            </w:r>
            <w:r w:rsidRPr="00166B4C">
              <w:rPr>
                <w:rFonts w:ascii="Times New Roman" w:eastAsia="Times New Roman" w:hAnsi="Times New Roman" w:cs="Times New Roman"/>
                <w:color w:val="000000"/>
                <w:sz w:val="24"/>
                <w:szCs w:val="24"/>
              </w:rPr>
              <w:t>measures the percentage of occupied bed places for</w:t>
            </w:r>
            <w:r w:rsidR="005F3C98" w:rsidRPr="00166B4C">
              <w:rPr>
                <w:rFonts w:ascii="Times New Roman" w:eastAsia="Times New Roman" w:hAnsi="Times New Roman" w:cs="Times New Roman"/>
                <w:color w:val="000000"/>
                <w:sz w:val="24"/>
                <w:szCs w:val="24"/>
              </w:rPr>
              <w:t xml:space="preserve"> </w:t>
            </w:r>
            <w:r w:rsidRPr="00166B4C">
              <w:rPr>
                <w:rFonts w:ascii="Times New Roman" w:eastAsia="Times New Roman" w:hAnsi="Times New Roman" w:cs="Times New Roman"/>
                <w:color w:val="000000"/>
                <w:sz w:val="24"/>
                <w:szCs w:val="24"/>
              </w:rPr>
              <w:t>“Hotels and similar accommodation”.</w:t>
            </w:r>
          </w:p>
          <w:p w14:paraId="75DC470C" w14:textId="77777777" w:rsidR="00567142" w:rsidRPr="00AA5505" w:rsidRDefault="00CF4BC0" w:rsidP="00AA5505">
            <w:pPr>
              <w:spacing w:before="120" w:after="120" w:line="240" w:lineRule="auto"/>
              <w:ind w:left="101" w:right="86"/>
              <w:jc w:val="both"/>
              <w:rPr>
                <w:rFonts w:ascii="Times New Roman" w:eastAsia="Times New Roman" w:hAnsi="Times New Roman" w:cs="Times New Roman"/>
                <w:color w:val="000000"/>
                <w:sz w:val="24"/>
                <w:szCs w:val="24"/>
                <w:highlight w:val="yellow"/>
              </w:rPr>
            </w:pPr>
            <w:r w:rsidRPr="00166B4C">
              <w:rPr>
                <w:rFonts w:ascii="Times New Roman" w:eastAsia="Times New Roman" w:hAnsi="Times New Roman" w:cs="Times New Roman"/>
                <w:b/>
                <w:color w:val="000000"/>
                <w:sz w:val="24"/>
                <w:szCs w:val="24"/>
              </w:rPr>
              <w:t xml:space="preserve">The </w:t>
            </w:r>
            <w:r w:rsidR="00966ACF" w:rsidRPr="00166B4C">
              <w:rPr>
                <w:rFonts w:ascii="Times New Roman" w:eastAsia="Times New Roman" w:hAnsi="Times New Roman" w:cs="Times New Roman"/>
                <w:b/>
                <w:color w:val="000000"/>
                <w:sz w:val="24"/>
                <w:szCs w:val="24"/>
              </w:rPr>
              <w:t xml:space="preserve">net </w:t>
            </w:r>
            <w:r w:rsidRPr="00166B4C">
              <w:rPr>
                <w:rFonts w:ascii="Times New Roman" w:eastAsia="Times New Roman" w:hAnsi="Times New Roman" w:cs="Times New Roman"/>
                <w:b/>
                <w:color w:val="000000"/>
                <w:sz w:val="24"/>
                <w:szCs w:val="24"/>
              </w:rPr>
              <w:t xml:space="preserve">occupancy rate of </w:t>
            </w:r>
            <w:r w:rsidR="00966ACF" w:rsidRPr="00166B4C">
              <w:rPr>
                <w:rFonts w:ascii="Times New Roman" w:eastAsia="Times New Roman" w:hAnsi="Times New Roman" w:cs="Times New Roman"/>
                <w:b/>
                <w:color w:val="000000"/>
                <w:sz w:val="24"/>
                <w:szCs w:val="24"/>
              </w:rPr>
              <w:t>bedrooms</w:t>
            </w:r>
            <m:oMath>
              <m:r>
                <m:rPr>
                  <m:sty m:val="p"/>
                </m:rPr>
                <w:rPr>
                  <w:rFonts w:ascii="Cambria Math" w:eastAsia="Times New Roman" w:hAnsi="Cambria Math" w:cs="Cambria Math"/>
                  <w:color w:val="000000"/>
                  <w:sz w:val="24"/>
                  <w:szCs w:val="24"/>
                </w:rPr>
                <m:t>=</m:t>
              </m:r>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Cambria Math"/>
                      <w:color w:val="000000"/>
                      <w:sz w:val="24"/>
                      <w:szCs w:val="24"/>
                    </w:rPr>
                    <m:t xml:space="preserve">Number of occupied bedrooms </m:t>
                  </m:r>
                </m:num>
                <m:den>
                  <m:r>
                    <m:rPr>
                      <m:sty m:val="p"/>
                    </m:rPr>
                    <w:rPr>
                      <w:rFonts w:ascii="Cambria Math" w:eastAsia="Times New Roman" w:hAnsi="Cambria Math" w:cs="Cambria Math"/>
                      <w:color w:val="000000"/>
                      <w:sz w:val="24"/>
                      <w:szCs w:val="24"/>
                    </w:rPr>
                    <m:t xml:space="preserve">Number of available bedrooms </m:t>
                  </m:r>
                </m:den>
              </m:f>
              <m:r>
                <w:rPr>
                  <w:rFonts w:ascii="Cambria Math" w:eastAsia="Times New Roman" w:hAnsi="Cambria Math" w:cs="Times New Roman"/>
                  <w:color w:val="000000"/>
                  <w:sz w:val="24"/>
                  <w:szCs w:val="24"/>
                </w:rPr>
                <m:t>*100</m:t>
              </m:r>
            </m:oMath>
            <w:r w:rsidR="00C70D0C" w:rsidRPr="00166B4C">
              <w:rPr>
                <w:rFonts w:ascii="Times New Roman" w:eastAsia="Times New Roman" w:hAnsi="Times New Roman" w:cs="Times New Roman"/>
                <w:color w:val="000000"/>
                <w:sz w:val="24"/>
                <w:szCs w:val="24"/>
              </w:rPr>
              <w:t xml:space="preserve">, </w:t>
            </w:r>
            <w:r w:rsidRPr="00166B4C">
              <w:rPr>
                <w:rFonts w:ascii="Times New Roman" w:eastAsia="Times New Roman" w:hAnsi="Times New Roman" w:cs="Times New Roman"/>
                <w:color w:val="000000"/>
                <w:sz w:val="24"/>
                <w:szCs w:val="24"/>
              </w:rPr>
              <w:t>measures the perce</w:t>
            </w:r>
            <w:r w:rsidR="005F3C98" w:rsidRPr="00166B4C">
              <w:rPr>
                <w:rFonts w:ascii="Times New Roman" w:eastAsia="Times New Roman" w:hAnsi="Times New Roman" w:cs="Times New Roman"/>
                <w:color w:val="000000"/>
                <w:sz w:val="24"/>
                <w:szCs w:val="24"/>
              </w:rPr>
              <w:t xml:space="preserve">ntage of occupied bedrooms for </w:t>
            </w:r>
            <w:r w:rsidRPr="00166B4C">
              <w:rPr>
                <w:rFonts w:ascii="Times New Roman" w:eastAsia="Times New Roman" w:hAnsi="Times New Roman" w:cs="Times New Roman"/>
                <w:color w:val="000000"/>
                <w:sz w:val="24"/>
                <w:szCs w:val="24"/>
              </w:rPr>
              <w:t>“Hotels and similar accommodation”.</w:t>
            </w:r>
          </w:p>
        </w:tc>
      </w:tr>
      <w:tr w:rsidR="00617106" w:rsidRPr="00493D72" w14:paraId="7B18827F" w14:textId="77777777" w:rsidTr="00EA1937">
        <w:trPr>
          <w:trHeight w:val="567"/>
        </w:trPr>
        <w:tc>
          <w:tcPr>
            <w:tcW w:w="2371" w:type="dxa"/>
            <w:shd w:val="clear" w:color="auto" w:fill="FFFFCC"/>
            <w:vAlign w:val="center"/>
            <w:hideMark/>
          </w:tcPr>
          <w:p w14:paraId="42E77B21" w14:textId="77777777" w:rsidR="00CD6D1C" w:rsidRPr="00493D72" w:rsidRDefault="00CD6D1C" w:rsidP="00966ACF">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3.5. </w:t>
            </w:r>
            <w:r w:rsidR="009E35B4" w:rsidRPr="00493D72">
              <w:rPr>
                <w:rFonts w:ascii="Times New Roman" w:eastAsia="Times New Roman" w:hAnsi="Times New Roman" w:cs="Times New Roman"/>
                <w:noProof/>
                <w:color w:val="000000"/>
                <w:sz w:val="24"/>
                <w:szCs w:val="24"/>
                <w:lang w:val="sq-AL" w:eastAsia="sq-AL"/>
              </w:rPr>
              <w:t>Statistical unit</w:t>
            </w:r>
          </w:p>
        </w:tc>
        <w:tc>
          <w:tcPr>
            <w:tcW w:w="8311" w:type="dxa"/>
            <w:shd w:val="clear" w:color="auto" w:fill="auto"/>
            <w:noWrap/>
            <w:vAlign w:val="center"/>
            <w:hideMark/>
          </w:tcPr>
          <w:p w14:paraId="456B78A8" w14:textId="77777777" w:rsidR="00461E8D" w:rsidRDefault="00960526" w:rsidP="00966ACF">
            <w:pPr>
              <w:spacing w:after="0" w:line="240" w:lineRule="auto"/>
              <w:ind w:left="101" w:right="86"/>
              <w:jc w:val="both"/>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Local units with economic sectors: NACE Rev.2 55.1; 55.2; 55.3 whenever this information is ava</w:t>
            </w:r>
            <w:r w:rsidR="00461E8D">
              <w:rPr>
                <w:rFonts w:ascii="Times New Roman" w:eastAsia="Times New Roman" w:hAnsi="Times New Roman" w:cs="Times New Roman"/>
                <w:color w:val="000000"/>
                <w:sz w:val="24"/>
                <w:szCs w:val="24"/>
              </w:rPr>
              <w:t xml:space="preserve">ilable at </w:t>
            </w:r>
            <w:r w:rsidR="00461E8D" w:rsidRPr="00567142">
              <w:rPr>
                <w:rStyle w:val="Emphasis"/>
              </w:rPr>
              <w:t>local unit level</w:t>
            </w:r>
            <w:r w:rsidR="00461E8D">
              <w:rPr>
                <w:rFonts w:ascii="Times New Roman" w:eastAsia="Times New Roman" w:hAnsi="Times New Roman" w:cs="Times New Roman"/>
                <w:color w:val="000000"/>
                <w:sz w:val="24"/>
                <w:szCs w:val="24"/>
              </w:rPr>
              <w:t>; and</w:t>
            </w:r>
          </w:p>
          <w:p w14:paraId="47008C70" w14:textId="77777777" w:rsidR="00CD6D1C" w:rsidRPr="00CD5323" w:rsidRDefault="00960526" w:rsidP="00966ACF">
            <w:pPr>
              <w:spacing w:after="0" w:line="240" w:lineRule="auto"/>
              <w:ind w:left="101" w:right="86"/>
              <w:jc w:val="both"/>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 xml:space="preserve">The </w:t>
            </w:r>
            <w:r w:rsidR="00F3106B" w:rsidRPr="00960526">
              <w:rPr>
                <w:rFonts w:ascii="Times New Roman" w:eastAsia="Times New Roman" w:hAnsi="Times New Roman" w:cs="Times New Roman"/>
                <w:color w:val="000000"/>
                <w:sz w:val="24"/>
                <w:szCs w:val="24"/>
              </w:rPr>
              <w:t>statistical</w:t>
            </w:r>
            <w:r w:rsidRPr="00960526">
              <w:rPr>
                <w:rFonts w:ascii="Times New Roman" w:eastAsia="Times New Roman" w:hAnsi="Times New Roman" w:cs="Times New Roman"/>
                <w:color w:val="000000"/>
                <w:sz w:val="24"/>
                <w:szCs w:val="24"/>
              </w:rPr>
              <w:t xml:space="preserve"> coverage is in line with the Regulation no. 692/2011.</w:t>
            </w:r>
          </w:p>
        </w:tc>
      </w:tr>
      <w:tr w:rsidR="00473EF5" w:rsidRPr="00493D72" w14:paraId="2C95A6EE" w14:textId="77777777" w:rsidTr="00EA1937">
        <w:trPr>
          <w:trHeight w:val="567"/>
        </w:trPr>
        <w:tc>
          <w:tcPr>
            <w:tcW w:w="2371" w:type="dxa"/>
            <w:shd w:val="clear" w:color="auto" w:fill="FFFFCC"/>
            <w:vAlign w:val="center"/>
            <w:hideMark/>
          </w:tcPr>
          <w:p w14:paraId="76532BDC"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3.6. Statistical population</w:t>
            </w:r>
          </w:p>
        </w:tc>
        <w:tc>
          <w:tcPr>
            <w:tcW w:w="8311" w:type="dxa"/>
            <w:shd w:val="clear" w:color="auto" w:fill="auto"/>
            <w:vAlign w:val="center"/>
          </w:tcPr>
          <w:p w14:paraId="6FC67C26" w14:textId="77777777" w:rsidR="00473EF5" w:rsidRPr="00CF02AF" w:rsidRDefault="001671B8" w:rsidP="00CF02AF">
            <w:pPr>
              <w:spacing w:before="120" w:after="120" w:line="240" w:lineRule="auto"/>
              <w:ind w:left="101" w:right="86"/>
              <w:jc w:val="both"/>
              <w:rPr>
                <w:rFonts w:ascii="Times New Roman" w:eastAsia="Times New Roman" w:hAnsi="Times New Roman" w:cs="Times New Roman"/>
                <w:color w:val="000000"/>
                <w:sz w:val="24"/>
                <w:szCs w:val="24"/>
              </w:rPr>
            </w:pPr>
            <w:r w:rsidRPr="00CF02AF">
              <w:rPr>
                <w:rFonts w:ascii="Times New Roman" w:eastAsia="Times New Roman" w:hAnsi="Times New Roman" w:cs="Times New Roman"/>
                <w:color w:val="000000"/>
                <w:sz w:val="24"/>
                <w:szCs w:val="24"/>
              </w:rPr>
              <w:t>All local unit (accommodation establishments) offering short-stay accommodation as a paid service (although the price might be partially or fully subsidized) to tourists as defined in NACE Rev.2 55.1, 55.2 and 55.3.</w:t>
            </w:r>
          </w:p>
        </w:tc>
      </w:tr>
      <w:tr w:rsidR="00617106" w:rsidRPr="00493D72" w14:paraId="5BA76D14" w14:textId="77777777" w:rsidTr="00EA1937">
        <w:trPr>
          <w:trHeight w:val="567"/>
        </w:trPr>
        <w:tc>
          <w:tcPr>
            <w:tcW w:w="2371" w:type="dxa"/>
            <w:shd w:val="clear" w:color="auto" w:fill="FFFFCC"/>
            <w:vAlign w:val="center"/>
            <w:hideMark/>
          </w:tcPr>
          <w:p w14:paraId="0431CC4F" w14:textId="77777777" w:rsidR="00343A0D" w:rsidRPr="00493D72" w:rsidRDefault="00343A0D"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3.7. </w:t>
            </w:r>
            <w:r w:rsidR="009E35B4" w:rsidRPr="00493D72">
              <w:rPr>
                <w:rFonts w:ascii="Times New Roman" w:eastAsia="Times New Roman" w:hAnsi="Times New Roman" w:cs="Times New Roman"/>
                <w:noProof/>
                <w:color w:val="000000"/>
                <w:sz w:val="24"/>
                <w:szCs w:val="24"/>
                <w:lang w:val="sq-AL" w:eastAsia="sq-AL"/>
              </w:rPr>
              <w:t>Reference area</w:t>
            </w:r>
          </w:p>
        </w:tc>
        <w:tc>
          <w:tcPr>
            <w:tcW w:w="8311" w:type="dxa"/>
            <w:shd w:val="clear" w:color="auto" w:fill="auto"/>
            <w:noWrap/>
            <w:vAlign w:val="center"/>
            <w:hideMark/>
          </w:tcPr>
          <w:p w14:paraId="0577AFFF" w14:textId="77777777" w:rsidR="00343A0D" w:rsidRPr="00CF02AF" w:rsidRDefault="00461E8D" w:rsidP="00CF02AF">
            <w:pPr>
              <w:spacing w:before="120" w:after="120" w:line="240" w:lineRule="auto"/>
              <w:ind w:left="101" w:right="86"/>
              <w:jc w:val="both"/>
              <w:rPr>
                <w:rFonts w:ascii="Times New Roman" w:eastAsia="Times New Roman" w:hAnsi="Times New Roman" w:cs="Times New Roman"/>
                <w:color w:val="000000"/>
                <w:sz w:val="24"/>
                <w:szCs w:val="24"/>
              </w:rPr>
            </w:pPr>
            <w:r w:rsidRPr="00CF02AF">
              <w:rPr>
                <w:rFonts w:ascii="Times New Roman" w:eastAsia="Times New Roman" w:hAnsi="Times New Roman" w:cs="Times New Roman"/>
                <w:color w:val="000000"/>
                <w:sz w:val="24"/>
                <w:szCs w:val="24"/>
              </w:rPr>
              <w:t>Accommodation</w:t>
            </w:r>
            <w:r w:rsidR="00960526" w:rsidRPr="00CF02AF">
              <w:rPr>
                <w:rFonts w:ascii="Times New Roman" w:eastAsia="Times New Roman" w:hAnsi="Times New Roman" w:cs="Times New Roman"/>
                <w:color w:val="000000"/>
                <w:sz w:val="24"/>
                <w:szCs w:val="24"/>
              </w:rPr>
              <w:t xml:space="preserve"> statistics cover all the territory of A</w:t>
            </w:r>
            <w:r w:rsidRPr="00CF02AF">
              <w:rPr>
                <w:rFonts w:ascii="Times New Roman" w:eastAsia="Times New Roman" w:hAnsi="Times New Roman" w:cs="Times New Roman"/>
                <w:color w:val="000000"/>
                <w:sz w:val="24"/>
                <w:szCs w:val="24"/>
              </w:rPr>
              <w:t>l</w:t>
            </w:r>
            <w:r w:rsidR="00960526" w:rsidRPr="00CF02AF">
              <w:rPr>
                <w:rFonts w:ascii="Times New Roman" w:eastAsia="Times New Roman" w:hAnsi="Times New Roman" w:cs="Times New Roman"/>
                <w:color w:val="000000"/>
                <w:sz w:val="24"/>
                <w:szCs w:val="24"/>
              </w:rPr>
              <w:t>bania.</w:t>
            </w:r>
          </w:p>
        </w:tc>
      </w:tr>
      <w:tr w:rsidR="00473EF5" w:rsidRPr="00493D72" w14:paraId="4FE8C49F" w14:textId="77777777" w:rsidTr="00AE7C58">
        <w:trPr>
          <w:trHeight w:val="1853"/>
        </w:trPr>
        <w:tc>
          <w:tcPr>
            <w:tcW w:w="2371" w:type="dxa"/>
            <w:shd w:val="clear" w:color="auto" w:fill="FFFFCC"/>
            <w:vAlign w:val="center"/>
            <w:hideMark/>
          </w:tcPr>
          <w:p w14:paraId="41106EE2"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3.8. </w:t>
            </w:r>
            <w:r w:rsidRPr="00493D72">
              <w:rPr>
                <w:rFonts w:ascii="Times New Roman" w:eastAsia="Times New Roman" w:hAnsi="Times New Roman" w:cs="Times New Roman"/>
                <w:noProof/>
                <w:color w:val="000000" w:themeColor="text1"/>
                <w:sz w:val="24"/>
                <w:szCs w:val="24"/>
                <w:lang w:val="sq-AL" w:eastAsia="sq-AL"/>
              </w:rPr>
              <w:t>Time coverage</w:t>
            </w:r>
          </w:p>
        </w:tc>
        <w:tc>
          <w:tcPr>
            <w:tcW w:w="8311" w:type="dxa"/>
            <w:shd w:val="clear" w:color="auto" w:fill="auto"/>
            <w:vAlign w:val="center"/>
          </w:tcPr>
          <w:tbl>
            <w:tblPr>
              <w:tblStyle w:val="TableGrid"/>
              <w:tblW w:w="80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24"/>
              <w:gridCol w:w="919"/>
            </w:tblGrid>
            <w:tr w:rsidR="00795CC4" w:rsidRPr="00960526" w14:paraId="37141569" w14:textId="77777777" w:rsidTr="00F1160E">
              <w:trPr>
                <w:trHeight w:val="346"/>
              </w:trPr>
              <w:tc>
                <w:tcPr>
                  <w:tcW w:w="7124" w:type="dxa"/>
                  <w:hideMark/>
                </w:tcPr>
                <w:p w14:paraId="2E7AAD0B" w14:textId="77777777" w:rsidR="00795CC4" w:rsidRPr="00E77874" w:rsidRDefault="00795CC4" w:rsidP="009C46E3">
                  <w:pPr>
                    <w:pStyle w:val="ListParagraph"/>
                    <w:numPr>
                      <w:ilvl w:val="0"/>
                      <w:numId w:val="12"/>
                    </w:numPr>
                  </w:pPr>
                  <w:r w:rsidRPr="00E77874">
                    <w:t>Hotels and similar accommodation (NACE 55.1) (Year)</w:t>
                  </w:r>
                </w:p>
              </w:tc>
              <w:tc>
                <w:tcPr>
                  <w:tcW w:w="919" w:type="dxa"/>
                  <w:hideMark/>
                </w:tcPr>
                <w:p w14:paraId="334D49C7" w14:textId="77777777" w:rsidR="00795CC4" w:rsidRPr="001376C8" w:rsidRDefault="00795CC4" w:rsidP="009C46E3">
                  <w:pPr>
                    <w:spacing w:before="30" w:after="30"/>
                    <w:rPr>
                      <w:rFonts w:ascii="Times New Roman" w:eastAsia="Times New Roman" w:hAnsi="Times New Roman" w:cs="Times New Roman"/>
                      <w:sz w:val="24"/>
                      <w:szCs w:val="24"/>
                    </w:rPr>
                  </w:pPr>
                  <w:r w:rsidRPr="001376C8">
                    <w:rPr>
                      <w:rFonts w:ascii="Times New Roman" w:eastAsia="Times New Roman" w:hAnsi="Times New Roman" w:cs="Times New Roman"/>
                      <w:sz w:val="24"/>
                      <w:szCs w:val="24"/>
                    </w:rPr>
                    <w:t>2018</w:t>
                  </w:r>
                </w:p>
              </w:tc>
            </w:tr>
            <w:tr w:rsidR="00795CC4" w:rsidRPr="00960526" w14:paraId="02AED63F" w14:textId="77777777" w:rsidTr="00F1160E">
              <w:trPr>
                <w:trHeight w:val="346"/>
              </w:trPr>
              <w:tc>
                <w:tcPr>
                  <w:tcW w:w="7124" w:type="dxa"/>
                  <w:hideMark/>
                </w:tcPr>
                <w:p w14:paraId="188626E0" w14:textId="77777777" w:rsidR="00795CC4" w:rsidRPr="00E77874" w:rsidRDefault="00795CC4" w:rsidP="009C46E3">
                  <w:pPr>
                    <w:pStyle w:val="ListParagraph"/>
                    <w:numPr>
                      <w:ilvl w:val="0"/>
                      <w:numId w:val="12"/>
                    </w:numPr>
                  </w:pPr>
                  <w:r w:rsidRPr="00E77874">
                    <w:t>Holiday and other short-stay accommodation (NACE 55.2) (Year)</w:t>
                  </w:r>
                </w:p>
              </w:tc>
              <w:tc>
                <w:tcPr>
                  <w:tcW w:w="919" w:type="dxa"/>
                  <w:hideMark/>
                </w:tcPr>
                <w:p w14:paraId="6D8E2F05" w14:textId="77777777" w:rsidR="00795CC4" w:rsidRPr="001376C8" w:rsidRDefault="00795CC4" w:rsidP="009C46E3">
                  <w:pPr>
                    <w:spacing w:before="30" w:after="30"/>
                    <w:rPr>
                      <w:rFonts w:ascii="Times New Roman" w:eastAsia="Times New Roman" w:hAnsi="Times New Roman" w:cs="Times New Roman"/>
                      <w:sz w:val="24"/>
                      <w:szCs w:val="24"/>
                    </w:rPr>
                  </w:pPr>
                  <w:r w:rsidRPr="001376C8">
                    <w:rPr>
                      <w:rFonts w:ascii="Times New Roman" w:eastAsia="Times New Roman" w:hAnsi="Times New Roman" w:cs="Times New Roman"/>
                      <w:sz w:val="24"/>
                      <w:szCs w:val="24"/>
                    </w:rPr>
                    <w:t>2018</w:t>
                  </w:r>
                </w:p>
              </w:tc>
            </w:tr>
            <w:tr w:rsidR="00795CC4" w:rsidRPr="00960526" w14:paraId="0BF0A632" w14:textId="77777777" w:rsidTr="00F1160E">
              <w:trPr>
                <w:trHeight w:val="346"/>
              </w:trPr>
              <w:tc>
                <w:tcPr>
                  <w:tcW w:w="7124" w:type="dxa"/>
                  <w:hideMark/>
                </w:tcPr>
                <w:p w14:paraId="085DD315" w14:textId="77777777" w:rsidR="00795CC4" w:rsidRPr="00E77874" w:rsidRDefault="00795CC4" w:rsidP="009C46E3">
                  <w:pPr>
                    <w:pStyle w:val="ListParagraph"/>
                    <w:numPr>
                      <w:ilvl w:val="0"/>
                      <w:numId w:val="12"/>
                    </w:numPr>
                  </w:pPr>
                  <w:r w:rsidRPr="00E77874">
                    <w:t>Camping grounds, etc. (NACE 55.3) (Year)</w:t>
                  </w:r>
                </w:p>
              </w:tc>
              <w:tc>
                <w:tcPr>
                  <w:tcW w:w="919" w:type="dxa"/>
                  <w:hideMark/>
                </w:tcPr>
                <w:p w14:paraId="127775D8" w14:textId="77777777" w:rsidR="00795CC4" w:rsidRPr="001376C8" w:rsidRDefault="00795CC4" w:rsidP="009C46E3">
                  <w:pPr>
                    <w:spacing w:before="30" w:after="30"/>
                    <w:rPr>
                      <w:rFonts w:ascii="Times New Roman" w:eastAsia="Times New Roman" w:hAnsi="Times New Roman" w:cs="Times New Roman"/>
                      <w:sz w:val="24"/>
                      <w:szCs w:val="24"/>
                    </w:rPr>
                  </w:pPr>
                  <w:r w:rsidRPr="001376C8">
                    <w:rPr>
                      <w:rFonts w:ascii="Times New Roman" w:eastAsia="Times New Roman" w:hAnsi="Times New Roman" w:cs="Times New Roman"/>
                      <w:sz w:val="24"/>
                      <w:szCs w:val="24"/>
                    </w:rPr>
                    <w:t>2018</w:t>
                  </w:r>
                </w:p>
              </w:tc>
            </w:tr>
            <w:tr w:rsidR="00795CC4" w:rsidRPr="00960526" w14:paraId="071EF1A7" w14:textId="77777777" w:rsidTr="00F1160E">
              <w:trPr>
                <w:trHeight w:val="553"/>
              </w:trPr>
              <w:tc>
                <w:tcPr>
                  <w:tcW w:w="7124" w:type="dxa"/>
                  <w:hideMark/>
                </w:tcPr>
                <w:p w14:paraId="2A248260" w14:textId="77777777" w:rsidR="00795CC4" w:rsidRPr="00E77874" w:rsidRDefault="00795CC4" w:rsidP="009C46E3">
                  <w:pPr>
                    <w:pStyle w:val="ListParagraph"/>
                    <w:numPr>
                      <w:ilvl w:val="0"/>
                      <w:numId w:val="12"/>
                    </w:numPr>
                  </w:pPr>
                  <w:r w:rsidRPr="00E77874">
                    <w:t>Additional comments (e.g. if different for CAP or OCC; older series for some vars; incoherence across regions; etc.)</w:t>
                  </w:r>
                </w:p>
              </w:tc>
              <w:tc>
                <w:tcPr>
                  <w:tcW w:w="919" w:type="dxa"/>
                  <w:hideMark/>
                </w:tcPr>
                <w:p w14:paraId="55AA7387" w14:textId="77777777" w:rsidR="00795CC4" w:rsidRPr="001376C8" w:rsidRDefault="00795CC4" w:rsidP="009C46E3">
                  <w:pPr>
                    <w:rPr>
                      <w:rFonts w:ascii="Times New Roman" w:eastAsia="Times New Roman" w:hAnsi="Times New Roman" w:cs="Times New Roman"/>
                      <w:sz w:val="24"/>
                      <w:szCs w:val="24"/>
                    </w:rPr>
                  </w:pPr>
                </w:p>
              </w:tc>
            </w:tr>
          </w:tbl>
          <w:p w14:paraId="4929492B" w14:textId="77777777" w:rsidR="00473EF5" w:rsidRPr="00DB35D6" w:rsidRDefault="00473EF5" w:rsidP="00493D72">
            <w:pPr>
              <w:spacing w:after="0"/>
              <w:rPr>
                <w:rFonts w:ascii="Times New Roman" w:eastAsia="Times New Roman" w:hAnsi="Times New Roman" w:cs="Times New Roman"/>
                <w:noProof/>
                <w:color w:val="000000"/>
                <w:sz w:val="24"/>
                <w:szCs w:val="24"/>
                <w:lang w:val="sq-AL" w:eastAsia="sq-AL"/>
              </w:rPr>
            </w:pPr>
          </w:p>
        </w:tc>
      </w:tr>
      <w:tr w:rsidR="00617106" w:rsidRPr="00493D72" w14:paraId="18BDFDDF" w14:textId="77777777" w:rsidTr="00EA1937">
        <w:trPr>
          <w:trHeight w:val="567"/>
        </w:trPr>
        <w:tc>
          <w:tcPr>
            <w:tcW w:w="2371" w:type="dxa"/>
            <w:shd w:val="clear" w:color="auto" w:fill="FFFFCC"/>
            <w:noWrap/>
            <w:vAlign w:val="center"/>
            <w:hideMark/>
          </w:tcPr>
          <w:p w14:paraId="2FCBE4F9" w14:textId="77777777" w:rsidR="00343A0D" w:rsidRPr="00493D72" w:rsidRDefault="00343A0D"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3.9. </w:t>
            </w:r>
            <w:r w:rsidR="009E35B4" w:rsidRPr="00493D72">
              <w:rPr>
                <w:rFonts w:ascii="Times New Roman" w:eastAsia="Times New Roman" w:hAnsi="Times New Roman" w:cs="Times New Roman"/>
                <w:noProof/>
                <w:color w:val="000000"/>
                <w:sz w:val="24"/>
                <w:szCs w:val="24"/>
                <w:lang w:val="sq-AL" w:eastAsia="sq-AL"/>
              </w:rPr>
              <w:t>Base period</w:t>
            </w:r>
          </w:p>
        </w:tc>
        <w:tc>
          <w:tcPr>
            <w:tcW w:w="8311" w:type="dxa"/>
            <w:shd w:val="clear" w:color="auto" w:fill="auto"/>
            <w:noWrap/>
            <w:vAlign w:val="center"/>
            <w:hideMark/>
          </w:tcPr>
          <w:p w14:paraId="3C1BFCCC" w14:textId="77777777" w:rsidR="00343A0D" w:rsidRPr="00DB35D6" w:rsidRDefault="00795CC4" w:rsidP="00795CC4">
            <w:pPr>
              <w:spacing w:before="120" w:after="120" w:line="240" w:lineRule="auto"/>
              <w:ind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Not applicable</w:t>
            </w:r>
          </w:p>
        </w:tc>
      </w:tr>
      <w:tr w:rsidR="00617106" w:rsidRPr="00493D72" w14:paraId="0DB0F73D" w14:textId="77777777" w:rsidTr="00EA1937">
        <w:trPr>
          <w:trHeight w:val="944"/>
        </w:trPr>
        <w:tc>
          <w:tcPr>
            <w:tcW w:w="2371" w:type="dxa"/>
            <w:shd w:val="clear" w:color="auto" w:fill="FBD4B4" w:themeFill="accent6" w:themeFillTint="66"/>
            <w:noWrap/>
            <w:vAlign w:val="center"/>
            <w:hideMark/>
          </w:tcPr>
          <w:p w14:paraId="4BC10CBB" w14:textId="77777777" w:rsidR="00343A0D" w:rsidRPr="00493D72" w:rsidRDefault="00343A0D"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69202491"/>
            <w:r w:rsidRPr="00493D72">
              <w:rPr>
                <w:rFonts w:ascii="Times New Roman" w:eastAsia="Times New Roman" w:hAnsi="Times New Roman" w:cs="Times New Roman"/>
                <w:noProof/>
                <w:color w:val="000000"/>
                <w:sz w:val="24"/>
                <w:szCs w:val="24"/>
                <w:lang w:val="sq-AL" w:eastAsia="sq-AL"/>
              </w:rPr>
              <w:t>4</w:t>
            </w:r>
            <w:r w:rsidRPr="00493D72">
              <w:rPr>
                <w:rFonts w:ascii="Times New Roman" w:eastAsia="Times New Roman" w:hAnsi="Times New Roman" w:cs="Times New Roman"/>
                <w:b w:val="0"/>
                <w:bCs w:val="0"/>
                <w:noProof/>
                <w:color w:val="000000"/>
                <w:sz w:val="24"/>
                <w:szCs w:val="24"/>
                <w:lang w:val="sq-AL" w:eastAsia="sq-AL"/>
              </w:rPr>
              <w:t xml:space="preserve">. </w:t>
            </w:r>
            <w:r w:rsidR="009E35B4" w:rsidRPr="00493D72">
              <w:rPr>
                <w:rFonts w:ascii="Times New Roman" w:eastAsia="Times New Roman" w:hAnsi="Times New Roman" w:cs="Times New Roman"/>
                <w:noProof/>
                <w:color w:val="000000" w:themeColor="text1"/>
                <w:sz w:val="24"/>
                <w:szCs w:val="24"/>
                <w:lang w:val="sq-AL" w:eastAsia="sq-AL"/>
              </w:rPr>
              <w:t>Unit of measure</w:t>
            </w:r>
            <w:bookmarkEnd w:id="3"/>
          </w:p>
        </w:tc>
        <w:tc>
          <w:tcPr>
            <w:tcW w:w="8311" w:type="dxa"/>
            <w:shd w:val="clear" w:color="auto" w:fill="auto"/>
            <w:noWrap/>
            <w:vAlign w:val="center"/>
            <w:hideMark/>
          </w:tcPr>
          <w:p w14:paraId="48124F07" w14:textId="77777777" w:rsidR="00960526" w:rsidRPr="00960526" w:rsidRDefault="00960526" w:rsidP="00CF02AF">
            <w:pPr>
              <w:spacing w:before="120" w:after="120" w:line="240" w:lineRule="auto"/>
              <w:ind w:left="101" w:right="86"/>
              <w:jc w:val="both"/>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Capacity: Absolute values.</w:t>
            </w:r>
          </w:p>
          <w:p w14:paraId="016EAB5E" w14:textId="77777777" w:rsidR="00343A0D" w:rsidRPr="00DB35D6" w:rsidRDefault="00960526" w:rsidP="00CF02AF">
            <w:pPr>
              <w:spacing w:before="120" w:after="120" w:line="240" w:lineRule="auto"/>
              <w:ind w:left="101" w:right="86"/>
              <w:jc w:val="both"/>
              <w:rPr>
                <w:rFonts w:ascii="Times New Roman" w:hAnsi="Times New Roman" w:cs="Times New Roman"/>
                <w:noProof/>
                <w:sz w:val="24"/>
                <w:szCs w:val="24"/>
                <w:lang w:val="sq-AL"/>
              </w:rPr>
            </w:pPr>
            <w:r w:rsidRPr="00DB35D6">
              <w:rPr>
                <w:rFonts w:ascii="Times New Roman" w:eastAsia="Times New Roman" w:hAnsi="Times New Roman" w:cs="Times New Roman"/>
                <w:color w:val="000000"/>
                <w:sz w:val="24"/>
                <w:szCs w:val="24"/>
              </w:rPr>
              <w:t>Occupancy: Absolute values and percentages.</w:t>
            </w:r>
          </w:p>
        </w:tc>
      </w:tr>
      <w:tr w:rsidR="00617106" w:rsidRPr="00493D72" w14:paraId="784B5429" w14:textId="77777777" w:rsidTr="00EA1937">
        <w:trPr>
          <w:trHeight w:val="1295"/>
        </w:trPr>
        <w:tc>
          <w:tcPr>
            <w:tcW w:w="2371" w:type="dxa"/>
            <w:shd w:val="clear" w:color="auto" w:fill="FBD4B4" w:themeFill="accent6" w:themeFillTint="66"/>
            <w:noWrap/>
            <w:vAlign w:val="center"/>
            <w:hideMark/>
          </w:tcPr>
          <w:p w14:paraId="59099A94" w14:textId="77777777" w:rsidR="00343A0D" w:rsidRPr="00493D72" w:rsidRDefault="00343A0D"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69202492"/>
            <w:r w:rsidRPr="00493D72">
              <w:rPr>
                <w:rFonts w:ascii="Times New Roman" w:eastAsia="Times New Roman" w:hAnsi="Times New Roman" w:cs="Times New Roman"/>
                <w:noProof/>
                <w:color w:val="000000" w:themeColor="text1"/>
                <w:sz w:val="24"/>
                <w:szCs w:val="24"/>
                <w:lang w:val="sq-AL" w:eastAsia="sq-AL"/>
              </w:rPr>
              <w:t xml:space="preserve">5. </w:t>
            </w:r>
            <w:r w:rsidR="009E35B4" w:rsidRPr="00493D72">
              <w:rPr>
                <w:rFonts w:ascii="Times New Roman" w:eastAsia="Times New Roman" w:hAnsi="Times New Roman" w:cs="Times New Roman"/>
                <w:noProof/>
                <w:color w:val="000000" w:themeColor="text1"/>
                <w:sz w:val="24"/>
                <w:szCs w:val="24"/>
                <w:lang w:val="sq-AL" w:eastAsia="sq-AL"/>
              </w:rPr>
              <w:t>Reference period</w:t>
            </w:r>
            <w:bookmarkEnd w:id="4"/>
          </w:p>
        </w:tc>
        <w:tc>
          <w:tcPr>
            <w:tcW w:w="8311" w:type="dxa"/>
            <w:shd w:val="clear" w:color="auto" w:fill="auto"/>
            <w:noWrap/>
            <w:vAlign w:val="center"/>
            <w:hideMark/>
          </w:tcPr>
          <w:tbl>
            <w:tblPr>
              <w:tblStyle w:val="TableGrid"/>
              <w:tblW w:w="82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16"/>
              <w:gridCol w:w="4398"/>
            </w:tblGrid>
            <w:tr w:rsidR="00E77874" w:rsidRPr="00457778" w14:paraId="0B15B490" w14:textId="77777777" w:rsidTr="001671B8">
              <w:trPr>
                <w:trHeight w:val="342"/>
              </w:trPr>
              <w:tc>
                <w:tcPr>
                  <w:tcW w:w="2323" w:type="pct"/>
                  <w:vAlign w:val="center"/>
                  <w:hideMark/>
                </w:tcPr>
                <w:p w14:paraId="607C06AE" w14:textId="77777777" w:rsidR="00E77874" w:rsidRPr="00457778" w:rsidRDefault="00E77874" w:rsidP="001671B8">
                  <w:pPr>
                    <w:rPr>
                      <w:rFonts w:ascii="Times New Roman" w:eastAsia="Times New Roman" w:hAnsi="Times New Roman" w:cs="Times New Roman"/>
                      <w:color w:val="000000"/>
                      <w:sz w:val="24"/>
                      <w:szCs w:val="24"/>
                    </w:rPr>
                  </w:pPr>
                  <w:r w:rsidRPr="00457778">
                    <w:rPr>
                      <w:rFonts w:ascii="Times New Roman" w:eastAsia="Times New Roman" w:hAnsi="Times New Roman" w:cs="Times New Roman"/>
                      <w:color w:val="000000"/>
                      <w:sz w:val="24"/>
                      <w:szCs w:val="24"/>
                    </w:rPr>
                    <w:t xml:space="preserve">5.1 </w:t>
                  </w:r>
                  <w:r w:rsidRPr="00457778">
                    <w:rPr>
                      <w:rFonts w:ascii="&amp;quot" w:eastAsia="Times New Roman" w:hAnsi="&amp;quot" w:cs="Times New Roman"/>
                      <w:color w:val="000000"/>
                      <w:sz w:val="24"/>
                      <w:szCs w:val="24"/>
                    </w:rPr>
                    <w:t>Capacity </w:t>
                  </w:r>
                </w:p>
              </w:tc>
              <w:tc>
                <w:tcPr>
                  <w:tcW w:w="2677" w:type="pct"/>
                  <w:hideMark/>
                </w:tcPr>
                <w:p w14:paraId="11191A61" w14:textId="3823883E" w:rsidR="00E77874" w:rsidRPr="00457778" w:rsidRDefault="00E77874" w:rsidP="00BB4E9A">
                  <w:pPr>
                    <w:spacing w:before="30" w:after="30"/>
                    <w:rPr>
                      <w:rFonts w:ascii="Times New Roman" w:eastAsia="Times New Roman" w:hAnsi="Times New Roman" w:cs="Times New Roman"/>
                      <w:color w:val="000000"/>
                      <w:sz w:val="24"/>
                      <w:szCs w:val="24"/>
                    </w:rPr>
                  </w:pPr>
                  <w:r w:rsidRPr="00457778">
                    <w:rPr>
                      <w:rFonts w:ascii="Times New Roman" w:eastAsia="Times New Roman" w:hAnsi="Times New Roman" w:cs="Times New Roman"/>
                      <w:color w:val="000000"/>
                      <w:sz w:val="24"/>
                      <w:szCs w:val="24"/>
                    </w:rPr>
                    <w:t>20</w:t>
                  </w:r>
                  <w:r w:rsidR="00BB4E9A" w:rsidRPr="00457778">
                    <w:rPr>
                      <w:rFonts w:ascii="Times New Roman" w:eastAsia="Times New Roman" w:hAnsi="Times New Roman" w:cs="Times New Roman"/>
                      <w:color w:val="000000"/>
                      <w:sz w:val="24"/>
                      <w:szCs w:val="24"/>
                    </w:rPr>
                    <w:t>20</w:t>
                  </w:r>
                </w:p>
              </w:tc>
            </w:tr>
            <w:tr w:rsidR="00E77874" w:rsidRPr="00DB35D6" w14:paraId="45B531E2" w14:textId="77777777" w:rsidTr="001671B8">
              <w:trPr>
                <w:trHeight w:val="659"/>
              </w:trPr>
              <w:tc>
                <w:tcPr>
                  <w:tcW w:w="2323" w:type="pct"/>
                  <w:vAlign w:val="center"/>
                  <w:hideMark/>
                </w:tcPr>
                <w:p w14:paraId="5ABCAA10" w14:textId="77777777" w:rsidR="00E77874" w:rsidRPr="00457778" w:rsidRDefault="00E77874" w:rsidP="001671B8">
                  <w:pPr>
                    <w:rPr>
                      <w:rFonts w:ascii="Times New Roman" w:eastAsia="Times New Roman" w:hAnsi="Times New Roman" w:cs="Times New Roman"/>
                      <w:color w:val="000000"/>
                      <w:sz w:val="24"/>
                      <w:szCs w:val="24"/>
                    </w:rPr>
                  </w:pPr>
                  <w:r w:rsidRPr="00457778">
                    <w:rPr>
                      <w:rFonts w:ascii="Times New Roman" w:eastAsia="Times New Roman" w:hAnsi="Times New Roman" w:cs="Times New Roman"/>
                      <w:color w:val="000000"/>
                      <w:sz w:val="24"/>
                      <w:szCs w:val="24"/>
                    </w:rPr>
                    <w:t xml:space="preserve">5.2 </w:t>
                  </w:r>
                  <w:r w:rsidRPr="00457778">
                    <w:rPr>
                      <w:rFonts w:ascii="&amp;quot" w:eastAsia="Times New Roman" w:hAnsi="&amp;quot" w:cs="Times New Roman"/>
                      <w:color w:val="000000"/>
                      <w:sz w:val="24"/>
                      <w:szCs w:val="24"/>
                    </w:rPr>
                    <w:t>Occupancy </w:t>
                  </w:r>
                </w:p>
              </w:tc>
              <w:tc>
                <w:tcPr>
                  <w:tcW w:w="2677" w:type="pct"/>
                  <w:hideMark/>
                </w:tcPr>
                <w:p w14:paraId="12D51908" w14:textId="01758CDA" w:rsidR="00E77874" w:rsidRPr="00457778" w:rsidRDefault="00E77874" w:rsidP="00795CC4">
                  <w:pPr>
                    <w:spacing w:before="30" w:after="30"/>
                    <w:rPr>
                      <w:rFonts w:ascii="Times New Roman" w:eastAsia="Times New Roman" w:hAnsi="Times New Roman" w:cs="Times New Roman"/>
                      <w:color w:val="000000"/>
                      <w:sz w:val="24"/>
                      <w:szCs w:val="24"/>
                    </w:rPr>
                  </w:pPr>
                  <w:r w:rsidRPr="00457778">
                    <w:rPr>
                      <w:rFonts w:ascii="Times New Roman" w:eastAsia="Times New Roman" w:hAnsi="Times New Roman" w:cs="Times New Roman"/>
                      <w:color w:val="000000"/>
                      <w:sz w:val="24"/>
                      <w:szCs w:val="24"/>
                    </w:rPr>
                    <w:t>Annual = 20</w:t>
                  </w:r>
                  <w:r w:rsidR="00BB4E9A" w:rsidRPr="00457778">
                    <w:rPr>
                      <w:rFonts w:ascii="Times New Roman" w:eastAsia="Times New Roman" w:hAnsi="Times New Roman" w:cs="Times New Roman"/>
                      <w:color w:val="000000"/>
                      <w:sz w:val="24"/>
                      <w:szCs w:val="24"/>
                    </w:rPr>
                    <w:t>20</w:t>
                  </w:r>
                </w:p>
                <w:p w14:paraId="142E0CFE" w14:textId="16EC594B" w:rsidR="00E77874" w:rsidRPr="00457778" w:rsidRDefault="00E77874" w:rsidP="00BB4E9A">
                  <w:pPr>
                    <w:spacing w:before="30" w:after="30"/>
                    <w:rPr>
                      <w:rFonts w:ascii="Times New Roman" w:eastAsia="Times New Roman" w:hAnsi="Times New Roman" w:cs="Times New Roman"/>
                      <w:color w:val="000000"/>
                      <w:sz w:val="24"/>
                      <w:szCs w:val="24"/>
                    </w:rPr>
                  </w:pPr>
                  <w:r w:rsidRPr="00457778">
                    <w:rPr>
                      <w:rFonts w:ascii="Times New Roman" w:eastAsia="Times New Roman" w:hAnsi="Times New Roman" w:cs="Times New Roman"/>
                      <w:color w:val="000000"/>
                      <w:sz w:val="24"/>
                      <w:szCs w:val="24"/>
                    </w:rPr>
                    <w:t>Monthly = August 20</w:t>
                  </w:r>
                  <w:r w:rsidR="00BB4E9A" w:rsidRPr="00457778">
                    <w:rPr>
                      <w:rFonts w:ascii="Times New Roman" w:eastAsia="Times New Roman" w:hAnsi="Times New Roman" w:cs="Times New Roman"/>
                      <w:color w:val="000000"/>
                      <w:sz w:val="24"/>
                      <w:szCs w:val="24"/>
                    </w:rPr>
                    <w:t>20</w:t>
                  </w:r>
                </w:p>
              </w:tc>
            </w:tr>
          </w:tbl>
          <w:p w14:paraId="53477B20" w14:textId="77777777" w:rsidR="00343A0D" w:rsidRPr="0014042A" w:rsidRDefault="00343A0D" w:rsidP="00E77874">
            <w:pPr>
              <w:pStyle w:val="ListParagraph"/>
              <w:spacing w:before="120" w:after="120"/>
              <w:ind w:left="461" w:right="86"/>
              <w:jc w:val="both"/>
            </w:pPr>
          </w:p>
        </w:tc>
      </w:tr>
      <w:tr w:rsidR="00343A0D" w:rsidRPr="00493D72" w14:paraId="050511E6" w14:textId="77777777" w:rsidTr="00493D72">
        <w:trPr>
          <w:trHeight w:val="567"/>
        </w:trPr>
        <w:tc>
          <w:tcPr>
            <w:tcW w:w="0" w:type="auto"/>
            <w:gridSpan w:val="2"/>
            <w:shd w:val="clear" w:color="auto" w:fill="FBD4B4" w:themeFill="accent6" w:themeFillTint="66"/>
            <w:noWrap/>
            <w:vAlign w:val="center"/>
            <w:hideMark/>
          </w:tcPr>
          <w:p w14:paraId="7CE8AB6B" w14:textId="77777777" w:rsidR="00343A0D" w:rsidRPr="00DB35D6" w:rsidRDefault="00343A0D" w:rsidP="00493D72">
            <w:pPr>
              <w:pStyle w:val="Heading1"/>
              <w:spacing w:before="0"/>
              <w:rPr>
                <w:rFonts w:ascii="Times New Roman" w:eastAsia="Times New Roman" w:hAnsi="Times New Roman" w:cs="Times New Roman"/>
                <w:noProof/>
                <w:color w:val="000000"/>
                <w:sz w:val="24"/>
                <w:szCs w:val="24"/>
                <w:lang w:val="sq-AL" w:eastAsia="sq-AL"/>
              </w:rPr>
            </w:pPr>
            <w:bookmarkStart w:id="5" w:name="_Toc69202493"/>
            <w:r w:rsidRPr="00DB35D6">
              <w:rPr>
                <w:rFonts w:ascii="Times New Roman" w:eastAsia="Times New Roman" w:hAnsi="Times New Roman" w:cs="Times New Roman"/>
                <w:noProof/>
                <w:color w:val="000000" w:themeColor="text1"/>
                <w:sz w:val="24"/>
                <w:szCs w:val="24"/>
                <w:lang w:val="sq-AL" w:eastAsia="sq-AL"/>
              </w:rPr>
              <w:t xml:space="preserve">6. </w:t>
            </w:r>
            <w:r w:rsidR="009E35B4" w:rsidRPr="00DB35D6">
              <w:rPr>
                <w:rFonts w:ascii="Times New Roman" w:eastAsia="Times New Roman" w:hAnsi="Times New Roman" w:cs="Times New Roman"/>
                <w:noProof/>
                <w:color w:val="000000" w:themeColor="text1"/>
                <w:sz w:val="24"/>
                <w:szCs w:val="24"/>
                <w:lang w:val="sq-AL" w:eastAsia="sq-AL"/>
              </w:rPr>
              <w:t>Institutional mandate</w:t>
            </w:r>
            <w:bookmarkEnd w:id="5"/>
            <w:r w:rsidRPr="00DB35D6">
              <w:rPr>
                <w:rFonts w:ascii="Times New Roman" w:eastAsia="Times New Roman" w:hAnsi="Times New Roman" w:cs="Times New Roman"/>
                <w:noProof/>
                <w:color w:val="000000"/>
                <w:sz w:val="24"/>
                <w:szCs w:val="24"/>
                <w:lang w:val="sq-AL" w:eastAsia="sq-AL"/>
              </w:rPr>
              <w:t> </w:t>
            </w:r>
          </w:p>
        </w:tc>
      </w:tr>
      <w:tr w:rsidR="00473EF5" w:rsidRPr="00493D72" w14:paraId="14039B23" w14:textId="77777777" w:rsidTr="00EA1937">
        <w:trPr>
          <w:trHeight w:val="1700"/>
        </w:trPr>
        <w:tc>
          <w:tcPr>
            <w:tcW w:w="2371" w:type="dxa"/>
            <w:shd w:val="clear" w:color="auto" w:fill="FFFFCC"/>
            <w:noWrap/>
            <w:vAlign w:val="center"/>
            <w:hideMark/>
          </w:tcPr>
          <w:p w14:paraId="2E8C58EE"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6.1. Legal acts and other agreements</w:t>
            </w:r>
          </w:p>
        </w:tc>
        <w:tc>
          <w:tcPr>
            <w:tcW w:w="8311"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5598"/>
            </w:tblGrid>
            <w:tr w:rsidR="009E1A83" w:rsidRPr="00DB35D6" w14:paraId="2CDD7DA9" w14:textId="77777777" w:rsidTr="001671B8">
              <w:tc>
                <w:tcPr>
                  <w:tcW w:w="0" w:type="auto"/>
                  <w:vAlign w:val="center"/>
                  <w:hideMark/>
                </w:tcPr>
                <w:p w14:paraId="593C7B06" w14:textId="77777777" w:rsidR="009E1A83" w:rsidRPr="00DB35D6" w:rsidRDefault="009E1A83" w:rsidP="001671B8">
                  <w:pPr>
                    <w:rPr>
                      <w:rFonts w:ascii="Times New Roman" w:hAnsi="Times New Roman" w:cs="Times New Roman"/>
                      <w:color w:val="000000"/>
                      <w:sz w:val="24"/>
                      <w:szCs w:val="24"/>
                    </w:rPr>
                  </w:pPr>
                  <w:r w:rsidRPr="00DB35D6">
                    <w:rPr>
                      <w:rFonts w:ascii="Times New Roman" w:hAnsi="Times New Roman" w:cs="Times New Roman"/>
                      <w:color w:val="000000"/>
                      <w:sz w:val="24"/>
                      <w:szCs w:val="24"/>
                    </w:rPr>
                    <w:t>6.1.1 European level</w:t>
                  </w:r>
                </w:p>
              </w:tc>
              <w:tc>
                <w:tcPr>
                  <w:tcW w:w="0" w:type="auto"/>
                  <w:hideMark/>
                </w:tcPr>
                <w:p w14:paraId="004889D9" w14:textId="77777777" w:rsidR="009E1A83" w:rsidRPr="00DB35D6" w:rsidRDefault="00D3798F" w:rsidP="009E1A83">
                  <w:pPr>
                    <w:spacing w:before="30" w:after="30"/>
                    <w:rPr>
                      <w:rFonts w:ascii="Times New Roman" w:hAnsi="Times New Roman" w:cs="Times New Roman"/>
                      <w:color w:val="000000"/>
                      <w:sz w:val="24"/>
                      <w:szCs w:val="24"/>
                    </w:rPr>
                  </w:pPr>
                  <w:hyperlink r:id="rId15" w:tgtFrame="_blank" w:history="1">
                    <w:r w:rsidR="009E1A83" w:rsidRPr="00DB35D6">
                      <w:rPr>
                        <w:rStyle w:val="Hyperlink"/>
                        <w:rFonts w:ascii="Times New Roman" w:hAnsi="Times New Roman" w:cs="Times New Roman"/>
                        <w:sz w:val="24"/>
                        <w:szCs w:val="24"/>
                      </w:rPr>
                      <w:t>Regulation 692/2011</w:t>
                    </w:r>
                  </w:hyperlink>
                </w:p>
                <w:p w14:paraId="79DCF630" w14:textId="77777777" w:rsidR="009E1A83" w:rsidRPr="00DB35D6" w:rsidRDefault="00D3798F" w:rsidP="009E1A83">
                  <w:pPr>
                    <w:spacing w:before="30" w:after="30"/>
                    <w:rPr>
                      <w:rFonts w:ascii="Times New Roman" w:hAnsi="Times New Roman" w:cs="Times New Roman"/>
                      <w:color w:val="000000"/>
                      <w:sz w:val="24"/>
                      <w:szCs w:val="24"/>
                    </w:rPr>
                  </w:pPr>
                  <w:hyperlink r:id="rId16" w:tgtFrame="_blank" w:history="1">
                    <w:r w:rsidR="009E1A83" w:rsidRPr="00DB35D6">
                      <w:rPr>
                        <w:rStyle w:val="Hyperlink"/>
                        <w:rFonts w:ascii="Times New Roman" w:hAnsi="Times New Roman" w:cs="Times New Roman"/>
                        <w:sz w:val="24"/>
                        <w:szCs w:val="24"/>
                      </w:rPr>
                      <w:t>Regulation 1051/2011</w:t>
                    </w:r>
                  </w:hyperlink>
                </w:p>
              </w:tc>
            </w:tr>
            <w:tr w:rsidR="009E1A83" w:rsidRPr="00DB35D6" w14:paraId="52401E2A" w14:textId="77777777" w:rsidTr="001671B8">
              <w:tc>
                <w:tcPr>
                  <w:tcW w:w="0" w:type="auto"/>
                  <w:vAlign w:val="center"/>
                  <w:hideMark/>
                </w:tcPr>
                <w:p w14:paraId="482A85C0" w14:textId="77777777" w:rsidR="009E1A83" w:rsidRPr="00DB35D6" w:rsidRDefault="009E1A83" w:rsidP="001671B8">
                  <w:pPr>
                    <w:rPr>
                      <w:rFonts w:ascii="Times New Roman" w:hAnsi="Times New Roman" w:cs="Times New Roman"/>
                      <w:color w:val="000000"/>
                      <w:sz w:val="24"/>
                      <w:szCs w:val="24"/>
                    </w:rPr>
                  </w:pPr>
                  <w:r w:rsidRPr="00DB35D6">
                    <w:rPr>
                      <w:rFonts w:ascii="Times New Roman" w:hAnsi="Times New Roman" w:cs="Times New Roman"/>
                      <w:color w:val="000000"/>
                      <w:sz w:val="24"/>
                      <w:szCs w:val="24"/>
                    </w:rPr>
                    <w:t>6.1.2 National level</w:t>
                  </w:r>
                </w:p>
              </w:tc>
              <w:tc>
                <w:tcPr>
                  <w:tcW w:w="0" w:type="auto"/>
                  <w:hideMark/>
                </w:tcPr>
                <w:p w14:paraId="2259E9EC" w14:textId="77777777" w:rsidR="009E1A83" w:rsidRPr="00DB35D6" w:rsidRDefault="00D3798F" w:rsidP="009F4913">
                  <w:pPr>
                    <w:rPr>
                      <w:rFonts w:ascii="Times New Roman" w:hAnsi="Times New Roman" w:cs="Times New Roman"/>
                      <w:color w:val="000000"/>
                      <w:sz w:val="24"/>
                      <w:szCs w:val="24"/>
                    </w:rPr>
                  </w:pPr>
                  <w:hyperlink r:id="rId17" w:history="1">
                    <w:r w:rsidR="009E1A83" w:rsidRPr="009F4913">
                      <w:rPr>
                        <w:rStyle w:val="Hyperlink"/>
                        <w:rFonts w:ascii="Times New Roman" w:hAnsi="Times New Roman" w:cs="Times New Roman"/>
                        <w:sz w:val="24"/>
                        <w:szCs w:val="24"/>
                      </w:rPr>
                      <w:t>Law No.17 / 2018 "On Official Statistics"</w:t>
                    </w:r>
                  </w:hyperlink>
                  <w:r w:rsidR="009E1A83" w:rsidRPr="00DB35D6">
                    <w:rPr>
                      <w:rFonts w:ascii="Times New Roman" w:hAnsi="Times New Roman" w:cs="Times New Roman"/>
                      <w:color w:val="000000"/>
                      <w:sz w:val="24"/>
                      <w:szCs w:val="24"/>
                    </w:rPr>
                    <w:t xml:space="preserve"> </w:t>
                  </w:r>
                </w:p>
                <w:p w14:paraId="6E6FCE09" w14:textId="77777777" w:rsidR="009E1A83" w:rsidRPr="00DB35D6" w:rsidRDefault="00D3798F" w:rsidP="009F4913">
                  <w:pPr>
                    <w:jc w:val="both"/>
                    <w:rPr>
                      <w:rFonts w:ascii="Times New Roman" w:hAnsi="Times New Roman" w:cs="Times New Roman"/>
                      <w:color w:val="000000"/>
                      <w:sz w:val="24"/>
                      <w:szCs w:val="24"/>
                    </w:rPr>
                  </w:pPr>
                  <w:hyperlink r:id="rId18" w:history="1">
                    <w:r w:rsidR="009E1A83" w:rsidRPr="009F4913">
                      <w:rPr>
                        <w:rStyle w:val="Hyperlink"/>
                        <w:rFonts w:ascii="Times New Roman" w:hAnsi="Times New Roman" w:cs="Times New Roman"/>
                        <w:sz w:val="24"/>
                        <w:szCs w:val="24"/>
                      </w:rPr>
                      <w:t>National Statistical Program Official, 2017-2021</w:t>
                    </w:r>
                  </w:hyperlink>
                  <w:r w:rsidR="009E1A83" w:rsidRPr="00DB35D6">
                    <w:rPr>
                      <w:rFonts w:ascii="Times New Roman" w:hAnsi="Times New Roman" w:cs="Times New Roman"/>
                      <w:color w:val="000000"/>
                      <w:sz w:val="24"/>
                      <w:szCs w:val="24"/>
                    </w:rPr>
                    <w:t xml:space="preserve"> </w:t>
                  </w:r>
                </w:p>
              </w:tc>
            </w:tr>
          </w:tbl>
          <w:p w14:paraId="00D20482" w14:textId="77777777" w:rsidR="00473EF5" w:rsidRPr="00964E3A" w:rsidRDefault="00473EF5" w:rsidP="009E1A83">
            <w:pPr>
              <w:pStyle w:val="ListParagraph"/>
              <w:ind w:left="461"/>
              <w:rPr>
                <w:rFonts w:asciiTheme="minorHAnsi" w:eastAsiaTheme="minorEastAsia" w:hAnsiTheme="minorHAnsi" w:cstheme="minorBidi"/>
                <w:sz w:val="22"/>
                <w:szCs w:val="22"/>
              </w:rPr>
            </w:pPr>
          </w:p>
        </w:tc>
      </w:tr>
      <w:tr w:rsidR="00617106" w:rsidRPr="00493D72" w14:paraId="5055A0BF" w14:textId="77777777" w:rsidTr="00AE7C58">
        <w:trPr>
          <w:trHeight w:val="1070"/>
        </w:trPr>
        <w:tc>
          <w:tcPr>
            <w:tcW w:w="2371" w:type="dxa"/>
            <w:shd w:val="clear" w:color="auto" w:fill="FFFFCC"/>
            <w:noWrap/>
            <w:vAlign w:val="center"/>
            <w:hideMark/>
          </w:tcPr>
          <w:p w14:paraId="69635220" w14:textId="77777777" w:rsidR="00EA5F3D" w:rsidRPr="00493D72" w:rsidRDefault="00EA5F3D"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6.2. </w:t>
            </w:r>
            <w:r w:rsidR="009E35B4" w:rsidRPr="00493D72">
              <w:rPr>
                <w:rFonts w:ascii="Times New Roman" w:eastAsia="Times New Roman" w:hAnsi="Times New Roman" w:cs="Times New Roman"/>
                <w:noProof/>
                <w:color w:val="000000"/>
                <w:sz w:val="24"/>
                <w:szCs w:val="24"/>
                <w:lang w:val="sq-AL" w:eastAsia="sq-AL"/>
              </w:rPr>
              <w:t>Data sharing</w:t>
            </w:r>
          </w:p>
        </w:tc>
        <w:tc>
          <w:tcPr>
            <w:tcW w:w="8311" w:type="dxa"/>
            <w:shd w:val="clear" w:color="auto" w:fill="auto"/>
            <w:noWrap/>
            <w:vAlign w:val="center"/>
            <w:hideMark/>
          </w:tcPr>
          <w:p w14:paraId="225274C0" w14:textId="1FF0F2B5" w:rsidR="00C47CBB" w:rsidRPr="00457778" w:rsidRDefault="00C21CF1" w:rsidP="00BB4E9A">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457778">
              <w:rPr>
                <w:rFonts w:ascii="Times New Roman" w:eastAsia="Times New Roman" w:hAnsi="Times New Roman" w:cs="Times New Roman"/>
                <w:noProof/>
                <w:color w:val="000000"/>
                <w:sz w:val="24"/>
                <w:szCs w:val="24"/>
                <w:lang w:val="sq-AL" w:eastAsia="sq-AL"/>
              </w:rPr>
              <w:t xml:space="preserve">The time series of monthly data </w:t>
            </w:r>
            <w:r w:rsidR="00BB4E9A" w:rsidRPr="00457778">
              <w:rPr>
                <w:rFonts w:ascii="Times New Roman" w:eastAsia="Times New Roman" w:hAnsi="Times New Roman" w:cs="Times New Roman"/>
                <w:noProof/>
                <w:color w:val="000000"/>
                <w:sz w:val="24"/>
                <w:szCs w:val="24"/>
                <w:lang w:val="sq-AL" w:eastAsia="sq-AL"/>
              </w:rPr>
              <w:t xml:space="preserve">starting </w:t>
            </w:r>
            <w:r w:rsidRPr="00457778">
              <w:rPr>
                <w:rFonts w:ascii="Times New Roman" w:eastAsia="Times New Roman" w:hAnsi="Times New Roman" w:cs="Times New Roman"/>
                <w:noProof/>
                <w:color w:val="000000"/>
                <w:sz w:val="24"/>
                <w:szCs w:val="24"/>
                <w:lang w:val="sq-AL" w:eastAsia="sq-AL"/>
              </w:rPr>
              <w:t xml:space="preserve">from January 2018 </w:t>
            </w:r>
            <w:r w:rsidR="00BB4E9A" w:rsidRPr="00457778">
              <w:rPr>
                <w:rFonts w:ascii="Times New Roman" w:eastAsia="Times New Roman" w:hAnsi="Times New Roman" w:cs="Times New Roman"/>
                <w:noProof/>
                <w:color w:val="000000"/>
                <w:sz w:val="24"/>
                <w:szCs w:val="24"/>
                <w:lang w:val="sq-AL" w:eastAsia="sq-AL"/>
              </w:rPr>
              <w:t>and onwards</w:t>
            </w:r>
            <w:r w:rsidRPr="00457778">
              <w:rPr>
                <w:rFonts w:ascii="Times New Roman" w:eastAsia="Times New Roman" w:hAnsi="Times New Roman" w:cs="Times New Roman"/>
                <w:noProof/>
                <w:color w:val="000000"/>
                <w:sz w:val="24"/>
                <w:szCs w:val="24"/>
                <w:lang w:val="sq-AL" w:eastAsia="sq-AL"/>
              </w:rPr>
              <w:t xml:space="preserve"> for the main indicators was sent to EUROSTAT in September 2020</w:t>
            </w:r>
            <w:r w:rsidR="00461E8D" w:rsidRPr="00457778">
              <w:rPr>
                <w:rFonts w:ascii="Times New Roman" w:eastAsia="Times New Roman" w:hAnsi="Times New Roman" w:cs="Times New Roman"/>
                <w:noProof/>
                <w:color w:val="000000"/>
                <w:sz w:val="24"/>
                <w:szCs w:val="24"/>
                <w:lang w:val="sq-AL" w:eastAsia="sq-AL"/>
              </w:rPr>
              <w:t>.</w:t>
            </w:r>
          </w:p>
        </w:tc>
      </w:tr>
      <w:tr w:rsidR="00EA5F3D" w:rsidRPr="00493D72" w14:paraId="4D544246" w14:textId="77777777" w:rsidTr="00493D72">
        <w:trPr>
          <w:trHeight w:val="567"/>
        </w:trPr>
        <w:tc>
          <w:tcPr>
            <w:tcW w:w="0" w:type="auto"/>
            <w:gridSpan w:val="2"/>
            <w:shd w:val="clear" w:color="auto" w:fill="FBD4B4" w:themeFill="accent6" w:themeFillTint="66"/>
            <w:noWrap/>
            <w:vAlign w:val="center"/>
            <w:hideMark/>
          </w:tcPr>
          <w:p w14:paraId="0004A5AB" w14:textId="77777777" w:rsidR="00EA5F3D" w:rsidRPr="00DB35D6" w:rsidRDefault="00EA5F3D"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6" w:name="_Toc69202494"/>
            <w:r w:rsidRPr="00DB35D6">
              <w:rPr>
                <w:rFonts w:ascii="Times New Roman" w:eastAsia="Times New Roman" w:hAnsi="Times New Roman" w:cs="Times New Roman"/>
                <w:noProof/>
                <w:color w:val="000000" w:themeColor="text1"/>
                <w:sz w:val="24"/>
                <w:szCs w:val="24"/>
                <w:lang w:val="sq-AL" w:eastAsia="sq-AL"/>
              </w:rPr>
              <w:t xml:space="preserve">7. </w:t>
            </w:r>
            <w:r w:rsidR="00085E7D" w:rsidRPr="00DB35D6">
              <w:rPr>
                <w:rFonts w:ascii="Times New Roman" w:eastAsia="Times New Roman" w:hAnsi="Times New Roman" w:cs="Times New Roman"/>
                <w:noProof/>
                <w:color w:val="000000" w:themeColor="text1"/>
                <w:sz w:val="24"/>
                <w:szCs w:val="24"/>
                <w:lang w:val="sq-AL" w:eastAsia="sq-AL"/>
              </w:rPr>
              <w:t>Confidentiality</w:t>
            </w:r>
            <w:bookmarkEnd w:id="6"/>
          </w:p>
        </w:tc>
      </w:tr>
      <w:tr w:rsidR="00473EF5" w:rsidRPr="00493D72" w14:paraId="005B2C62" w14:textId="77777777" w:rsidTr="00EA1937">
        <w:trPr>
          <w:trHeight w:val="3473"/>
        </w:trPr>
        <w:tc>
          <w:tcPr>
            <w:tcW w:w="2371" w:type="dxa"/>
            <w:shd w:val="clear" w:color="auto" w:fill="FFFFCC"/>
            <w:noWrap/>
            <w:vAlign w:val="center"/>
            <w:hideMark/>
          </w:tcPr>
          <w:p w14:paraId="347F5744" w14:textId="77777777" w:rsidR="00473EF5" w:rsidRPr="00493D72" w:rsidRDefault="0035438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7.1. Confidentiality </w:t>
            </w:r>
            <w:r w:rsidR="00473EF5" w:rsidRPr="00493D72">
              <w:rPr>
                <w:rFonts w:ascii="Times New Roman" w:eastAsia="Times New Roman" w:hAnsi="Times New Roman" w:cs="Times New Roman"/>
                <w:noProof/>
                <w:color w:val="000000"/>
                <w:sz w:val="24"/>
                <w:szCs w:val="24"/>
                <w:lang w:val="sq-AL" w:eastAsia="sq-AL"/>
              </w:rPr>
              <w:t>- policy </w:t>
            </w:r>
          </w:p>
        </w:tc>
        <w:tc>
          <w:tcPr>
            <w:tcW w:w="8311" w:type="dxa"/>
            <w:shd w:val="clear" w:color="auto" w:fill="auto"/>
            <w:vAlign w:val="center"/>
          </w:tcPr>
          <w:p w14:paraId="14439942" w14:textId="77777777" w:rsidR="00473EF5" w:rsidRPr="00964E3A" w:rsidRDefault="00960526" w:rsidP="00C47CBB">
            <w:pPr>
              <w:spacing w:before="120" w:after="120" w:line="240" w:lineRule="auto"/>
              <w:ind w:left="101" w:right="86"/>
              <w:jc w:val="both"/>
              <w:rPr>
                <w:rFonts w:ascii="Times New Roman" w:eastAsia="Times New Roman" w:hAnsi="Times New Roman" w:cs="Times New Roman"/>
                <w:noProof/>
                <w:color w:val="000000"/>
                <w:sz w:val="24"/>
                <w:szCs w:val="24"/>
                <w:highlight w:val="yellow"/>
                <w:lang w:val="sq-AL" w:eastAsia="sq-AL"/>
              </w:rPr>
            </w:pPr>
            <w:r w:rsidRPr="00C07844">
              <w:rPr>
                <w:rFonts w:ascii="Times New Roman" w:eastAsia="Times New Roman" w:hAnsi="Times New Roman" w:cs="Times New Roman"/>
                <w:noProof/>
                <w:color w:val="000000"/>
                <w:sz w:val="24"/>
                <w:szCs w:val="24"/>
                <w:lang w:val="sq-AL" w:eastAsia="sq-AL"/>
              </w:rPr>
              <w:t xml:space="preserve">The data collected are considered as strictly confidential and used only for statistical purposes and scientific research in accordance with the  national Statistical Law No.17/2018 “On Official Statistics”, date 10.03.2018 and the Law no. 9887, dated 10.03.2008 "Personal Data Protection", Article </w:t>
            </w:r>
            <w:r w:rsidR="00C47CBB" w:rsidRPr="00C07844">
              <w:rPr>
                <w:rFonts w:ascii="Times New Roman" w:eastAsia="Times New Roman" w:hAnsi="Times New Roman" w:cs="Times New Roman"/>
                <w:noProof/>
                <w:sz w:val="24"/>
                <w:szCs w:val="24"/>
                <w:lang w:val="sq-AL" w:eastAsia="sq-AL"/>
              </w:rPr>
              <w:t>31</w:t>
            </w:r>
            <w:r w:rsidRPr="00C07844">
              <w:rPr>
                <w:rFonts w:ascii="Times New Roman" w:eastAsia="Times New Roman" w:hAnsi="Times New Roman" w:cs="Times New Roman"/>
                <w:noProof/>
                <w:color w:val="000000"/>
                <w:sz w:val="24"/>
                <w:szCs w:val="24"/>
                <w:lang w:val="sq-AL" w:eastAsia="sq-AL"/>
              </w:rPr>
              <w:t xml:space="preserve"> of the Law on Official Statistics clearly define that all statistical information collected by INSTAT are confidential and may only be used or published in such summary tables that do not identify the information of the unit. The direct identification is called when a statistical unit is directly identified by the name, address or any officially recognized identification number. When data processing is performed in such a way as to enable the data subject to be identified, the data must be coded immediately so that the entities are no longer recognized.</w:t>
            </w:r>
          </w:p>
        </w:tc>
      </w:tr>
      <w:tr w:rsidR="00473EF5" w:rsidRPr="00493D72" w14:paraId="22FF780D" w14:textId="77777777" w:rsidTr="00EA1937">
        <w:trPr>
          <w:trHeight w:val="6110"/>
        </w:trPr>
        <w:tc>
          <w:tcPr>
            <w:tcW w:w="2371" w:type="dxa"/>
            <w:shd w:val="clear" w:color="auto" w:fill="FFFFCC"/>
            <w:noWrap/>
            <w:vAlign w:val="center"/>
            <w:hideMark/>
          </w:tcPr>
          <w:p w14:paraId="44C24FF1"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7.2. Confidentiality - data treatment</w:t>
            </w:r>
          </w:p>
        </w:tc>
        <w:tc>
          <w:tcPr>
            <w:tcW w:w="8311" w:type="dxa"/>
            <w:shd w:val="clear" w:color="auto" w:fill="auto"/>
            <w:vAlign w:val="center"/>
          </w:tcPr>
          <w:p w14:paraId="6D81AE0F" w14:textId="77777777" w:rsidR="00473EF5" w:rsidRPr="00DB35D6" w:rsidRDefault="00960526" w:rsidP="00CF02AF">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CF02AF">
              <w:rPr>
                <w:rFonts w:ascii="Times New Roman" w:eastAsia="Times New Roman" w:hAnsi="Times New Roman" w:cs="Times New Roman"/>
                <w:noProof/>
                <w:color w:val="000000"/>
                <w:sz w:val="24"/>
                <w:szCs w:val="24"/>
                <w:lang w:val="sq-AL" w:eastAsia="sq-AL"/>
              </w:rPr>
              <w:t>Albanian Institute of Statistics protects and does not disseminate data it has obtained or it has access to, which enable the direct or indirect identification of the statistical units that have provided them by the disclosure of individual information directly received for statistical purposes or indirectly supplied from administrative or other sources. Albania Institute of Statistics takes all appropriate preventive measures so as to render impossible the identification of individual statistical units by technical or other means that might reasonably be used by a third party. Statistical data that could potentially enable the identification of the statistical unit are disseminated by Albania Institute of Statistics if and only if:  a) these data have been treated, as it is specifically set out in the Regulation, in such a way that their dissemination does not prejudice statistical confidentiality</w:t>
            </w:r>
            <w:r w:rsidR="00617A1E" w:rsidRPr="00CF02AF">
              <w:rPr>
                <w:rFonts w:ascii="Times New Roman" w:eastAsia="Times New Roman" w:hAnsi="Times New Roman" w:cs="Times New Roman"/>
                <w:noProof/>
                <w:color w:val="000000"/>
                <w:sz w:val="24"/>
                <w:szCs w:val="24"/>
                <w:lang w:val="sq-AL" w:eastAsia="sq-AL"/>
              </w:rPr>
              <w:t> or b</w:t>
            </w:r>
            <w:r w:rsidRPr="00CF02AF">
              <w:rPr>
                <w:rFonts w:ascii="Times New Roman" w:eastAsia="Times New Roman" w:hAnsi="Times New Roman" w:cs="Times New Roman"/>
                <w:noProof/>
                <w:color w:val="000000"/>
                <w:sz w:val="24"/>
                <w:szCs w:val="24"/>
                <w:lang w:val="sq-AL" w:eastAsia="sq-AL"/>
              </w:rPr>
              <w:t>) the statistical unit has given its consent, without any reservations, for the disclosure of data. The confidential data that are transmitted to Albania Institute of Statistics are used exclusively for statistical purposes and the only persons who have the right to have access to these data are the personnel engaged in this task. Issues referring to the observance of statistical confidentiality are examined by the staff working in Albania Institute of Statistics. The responsibilities of this staff are to recommend on:  the level of detail at which statistical data can be disseminated, so as the identification, either directly or indirectly, of the surveyed statistical unit is not possible; the anonymization criteria for the microdata provided to users; the granting to researchers access to confidential data for scientific purposes.</w:t>
            </w:r>
          </w:p>
        </w:tc>
      </w:tr>
      <w:tr w:rsidR="00384D79" w:rsidRPr="00493D72" w14:paraId="3DAD545E" w14:textId="77777777" w:rsidTr="00493D72">
        <w:trPr>
          <w:trHeight w:val="567"/>
        </w:trPr>
        <w:tc>
          <w:tcPr>
            <w:tcW w:w="0" w:type="auto"/>
            <w:gridSpan w:val="2"/>
            <w:shd w:val="clear" w:color="auto" w:fill="FBD4B4" w:themeFill="accent6" w:themeFillTint="66"/>
            <w:noWrap/>
            <w:vAlign w:val="center"/>
            <w:hideMark/>
          </w:tcPr>
          <w:p w14:paraId="3DAD5547" w14:textId="77777777" w:rsidR="00384D79" w:rsidRPr="00DB35D6" w:rsidRDefault="00384D79"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69202495"/>
            <w:r w:rsidRPr="00DB35D6">
              <w:rPr>
                <w:rFonts w:ascii="Times New Roman" w:eastAsia="Times New Roman" w:hAnsi="Times New Roman" w:cs="Times New Roman"/>
                <w:noProof/>
                <w:color w:val="000000" w:themeColor="text1"/>
                <w:sz w:val="24"/>
                <w:szCs w:val="24"/>
                <w:lang w:val="sq-AL" w:eastAsia="sq-AL"/>
              </w:rPr>
              <w:t xml:space="preserve">8. </w:t>
            </w:r>
            <w:r w:rsidR="00085E7D" w:rsidRPr="00DB35D6">
              <w:rPr>
                <w:rFonts w:ascii="Times New Roman" w:eastAsia="Times New Roman" w:hAnsi="Times New Roman" w:cs="Times New Roman"/>
                <w:noProof/>
                <w:color w:val="000000" w:themeColor="text1"/>
                <w:sz w:val="24"/>
                <w:szCs w:val="24"/>
                <w:lang w:val="sq-AL" w:eastAsia="sq-AL"/>
              </w:rPr>
              <w:t>Release policy</w:t>
            </w:r>
            <w:bookmarkEnd w:id="7"/>
          </w:p>
        </w:tc>
      </w:tr>
      <w:tr w:rsidR="00473EF5" w:rsidRPr="00493D72" w14:paraId="502DB8FC" w14:textId="77777777" w:rsidTr="00EA1937">
        <w:trPr>
          <w:trHeight w:val="1736"/>
        </w:trPr>
        <w:tc>
          <w:tcPr>
            <w:tcW w:w="2371" w:type="dxa"/>
            <w:shd w:val="clear" w:color="auto" w:fill="FFFFCC"/>
            <w:noWrap/>
            <w:vAlign w:val="center"/>
            <w:hideMark/>
          </w:tcPr>
          <w:p w14:paraId="3D8A703E"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8.1. Release calendar</w:t>
            </w:r>
          </w:p>
        </w:tc>
        <w:tc>
          <w:tcPr>
            <w:tcW w:w="8311" w:type="dxa"/>
            <w:shd w:val="clear" w:color="auto" w:fill="auto"/>
            <w:vAlign w:val="center"/>
          </w:tcPr>
          <w:p w14:paraId="0300C90D" w14:textId="77777777" w:rsidR="00473EF5" w:rsidRPr="00DB35D6" w:rsidRDefault="00806CA7" w:rsidP="00964E3A">
            <w:pPr>
              <w:spacing w:before="240" w:line="240" w:lineRule="auto"/>
              <w:ind w:left="101" w:right="86"/>
              <w:jc w:val="both"/>
              <w:rPr>
                <w:rFonts w:ascii="Times New Roman" w:eastAsia="Times New Roman" w:hAnsi="Times New Roman" w:cs="Times New Roman"/>
                <w:noProof/>
                <w:color w:val="000000"/>
                <w:sz w:val="24"/>
                <w:szCs w:val="24"/>
                <w:lang w:val="sq-AL" w:eastAsia="sq-AL"/>
              </w:rPr>
            </w:pPr>
            <w:r w:rsidRPr="00806CA7">
              <w:rPr>
                <w:rFonts w:ascii="Times New Roman" w:eastAsia="Times New Roman" w:hAnsi="Times New Roman" w:cs="Times New Roman"/>
                <w:noProof/>
                <w:color w:val="000000"/>
                <w:sz w:val="24"/>
                <w:szCs w:val="24"/>
                <w:lang w:val="sq-AL" w:eastAsia="sq-AL"/>
              </w:rPr>
              <w:t>Notifications about the dissemination of statistics are published in the release</w:t>
            </w:r>
            <w:r w:rsidR="00964E3A">
              <w:rPr>
                <w:rFonts w:ascii="Times New Roman" w:eastAsia="Times New Roman" w:hAnsi="Times New Roman" w:cs="Times New Roman"/>
                <w:noProof/>
                <w:color w:val="000000"/>
                <w:sz w:val="24"/>
                <w:szCs w:val="24"/>
                <w:lang w:val="sq-AL" w:eastAsia="sq-AL"/>
              </w:rPr>
              <w:t xml:space="preserve"> </w:t>
            </w:r>
            <w:r w:rsidRPr="00806CA7">
              <w:rPr>
                <w:rFonts w:ascii="Times New Roman" w:eastAsia="Times New Roman" w:hAnsi="Times New Roman" w:cs="Times New Roman"/>
                <w:noProof/>
                <w:color w:val="000000"/>
                <w:sz w:val="24"/>
                <w:szCs w:val="24"/>
                <w:lang w:val="sq-AL" w:eastAsia="sq-AL"/>
              </w:rPr>
              <w:t>calendar, which is available on the website. The announcements and delays are</w:t>
            </w:r>
            <w:r w:rsidR="00964E3A">
              <w:rPr>
                <w:rFonts w:ascii="Times New Roman" w:eastAsia="Times New Roman" w:hAnsi="Times New Roman" w:cs="Times New Roman"/>
                <w:noProof/>
                <w:color w:val="000000"/>
                <w:sz w:val="24"/>
                <w:szCs w:val="24"/>
                <w:lang w:val="sq-AL" w:eastAsia="sq-AL"/>
              </w:rPr>
              <w:t xml:space="preserve"> </w:t>
            </w:r>
            <w:r w:rsidRPr="00806CA7">
              <w:rPr>
                <w:rFonts w:ascii="Times New Roman" w:eastAsia="Times New Roman" w:hAnsi="Times New Roman" w:cs="Times New Roman"/>
                <w:noProof/>
                <w:color w:val="000000"/>
                <w:sz w:val="24"/>
                <w:szCs w:val="24"/>
                <w:lang w:val="sq-AL" w:eastAsia="sq-AL"/>
              </w:rPr>
              <w:t>per-announced in this calendar. In the case of delays, the date of the next</w:t>
            </w:r>
            <w:r w:rsidR="00964E3A">
              <w:rPr>
                <w:rFonts w:ascii="Times New Roman" w:eastAsia="Times New Roman" w:hAnsi="Times New Roman" w:cs="Times New Roman"/>
                <w:noProof/>
                <w:color w:val="000000"/>
                <w:sz w:val="24"/>
                <w:szCs w:val="24"/>
                <w:lang w:val="sq-AL" w:eastAsia="sq-AL"/>
              </w:rPr>
              <w:t xml:space="preserve">  </w:t>
            </w:r>
            <w:r w:rsidRPr="00806CA7">
              <w:rPr>
                <w:rFonts w:ascii="Times New Roman" w:eastAsia="Times New Roman" w:hAnsi="Times New Roman" w:cs="Times New Roman"/>
                <w:noProof/>
                <w:color w:val="000000"/>
                <w:sz w:val="24"/>
                <w:szCs w:val="24"/>
                <w:lang w:val="sq-AL" w:eastAsia="sq-AL"/>
              </w:rPr>
              <w:t>publication and the explanation of the reaso</w:t>
            </w:r>
            <w:r>
              <w:rPr>
                <w:rFonts w:ascii="Times New Roman" w:eastAsia="Times New Roman" w:hAnsi="Times New Roman" w:cs="Times New Roman"/>
                <w:noProof/>
                <w:color w:val="000000"/>
                <w:sz w:val="24"/>
                <w:szCs w:val="24"/>
                <w:lang w:val="sq-AL" w:eastAsia="sq-AL"/>
              </w:rPr>
              <w:t>ns for the delays are specified</w:t>
            </w:r>
            <w:r w:rsidR="003631B3" w:rsidRPr="00DB35D6">
              <w:rPr>
                <w:rFonts w:ascii="Times New Roman" w:eastAsia="Times New Roman" w:hAnsi="Times New Roman" w:cs="Times New Roman"/>
                <w:noProof/>
                <w:color w:val="000000"/>
                <w:sz w:val="24"/>
                <w:szCs w:val="24"/>
                <w:lang w:val="sq-AL" w:eastAsia="sq-AL"/>
              </w:rPr>
              <w:t>.</w:t>
            </w:r>
          </w:p>
        </w:tc>
      </w:tr>
      <w:tr w:rsidR="00473EF5" w:rsidRPr="00493D72" w14:paraId="76268933" w14:textId="77777777" w:rsidTr="00EA1937">
        <w:trPr>
          <w:trHeight w:val="899"/>
        </w:trPr>
        <w:tc>
          <w:tcPr>
            <w:tcW w:w="2371" w:type="dxa"/>
            <w:shd w:val="clear" w:color="auto" w:fill="FFFFCC"/>
            <w:noWrap/>
            <w:vAlign w:val="center"/>
            <w:hideMark/>
          </w:tcPr>
          <w:p w14:paraId="051E7D69"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8.2. Release calendar access</w:t>
            </w:r>
          </w:p>
        </w:tc>
        <w:tc>
          <w:tcPr>
            <w:tcW w:w="8311" w:type="dxa"/>
            <w:shd w:val="clear" w:color="auto" w:fill="auto"/>
            <w:vAlign w:val="center"/>
          </w:tcPr>
          <w:p w14:paraId="7DBDD1CC" w14:textId="77777777" w:rsidR="00473EF5" w:rsidRPr="00DB35D6" w:rsidRDefault="00960526" w:rsidP="00252B38">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DB35D6">
              <w:rPr>
                <w:rFonts w:ascii="Times New Roman" w:eastAsia="Times New Roman" w:hAnsi="Times New Roman" w:cs="Times New Roman"/>
                <w:noProof/>
                <w:color w:val="000000"/>
                <w:sz w:val="24"/>
                <w:szCs w:val="24"/>
                <w:lang w:val="sq-AL" w:eastAsia="sq-AL"/>
              </w:rPr>
              <w:t xml:space="preserve">Access to the release calendar is granted through the following link: </w:t>
            </w:r>
            <w:hyperlink r:id="rId19" w:history="1">
              <w:r w:rsidR="00252B38" w:rsidRPr="00252B38">
                <w:rPr>
                  <w:rStyle w:val="Hyperlink"/>
                  <w:rFonts w:ascii="Times New Roman" w:eastAsia="Times New Roman" w:hAnsi="Times New Roman" w:cs="Times New Roman"/>
                  <w:noProof/>
                  <w:sz w:val="24"/>
                  <w:szCs w:val="24"/>
                  <w:lang w:val="sq-AL" w:eastAsia="sq-AL"/>
                </w:rPr>
                <w:t>Calendar</w:t>
              </w:r>
            </w:hyperlink>
          </w:p>
        </w:tc>
      </w:tr>
      <w:tr w:rsidR="00473EF5" w:rsidRPr="00493D72" w14:paraId="0F80BB15" w14:textId="77777777" w:rsidTr="00AE7C58">
        <w:trPr>
          <w:trHeight w:val="562"/>
        </w:trPr>
        <w:tc>
          <w:tcPr>
            <w:tcW w:w="2371" w:type="dxa"/>
            <w:shd w:val="clear" w:color="auto" w:fill="FFFFCC"/>
            <w:noWrap/>
            <w:vAlign w:val="center"/>
            <w:hideMark/>
          </w:tcPr>
          <w:p w14:paraId="3F6A60BD"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8.3. User access</w:t>
            </w:r>
          </w:p>
        </w:tc>
        <w:tc>
          <w:tcPr>
            <w:tcW w:w="8311" w:type="dxa"/>
            <w:shd w:val="clear" w:color="auto" w:fill="auto"/>
            <w:vAlign w:val="center"/>
          </w:tcPr>
          <w:p w14:paraId="6F0E0C32" w14:textId="77777777" w:rsidR="005E5488" w:rsidRPr="005E5488" w:rsidRDefault="005E5488" w:rsidP="005E5488">
            <w:pPr>
              <w:spacing w:before="120" w:after="120" w:line="240" w:lineRule="auto"/>
              <w:ind w:left="101" w:right="86"/>
              <w:jc w:val="both"/>
              <w:rPr>
                <w:rFonts w:ascii="Times New Roman" w:hAnsi="Times New Roman" w:cs="Times New Roman"/>
                <w:sz w:val="24"/>
                <w:szCs w:val="24"/>
              </w:rPr>
            </w:pPr>
            <w:r w:rsidRPr="005E5488">
              <w:rPr>
                <w:rFonts w:ascii="Times New Roman" w:hAnsi="Times New Roman" w:cs="Times New Roman"/>
                <w:sz w:val="24"/>
                <w:szCs w:val="24"/>
              </w:rPr>
              <w:t>In accordance with article 34 of Law No. 17/2018 "On Official Statistics", official statistics are disseminated so that all users have an immediate and equal right and all possible forms of media are used. INSTAT and statistical agencies, having in the program the responsibilities of dissemination, seek to meet every requirement of any organization or individual for unpublished data or specific analysis. The following dissemination channels are used to release the results of the Accommodation Establishments Survey</w:t>
            </w:r>
            <w:r>
              <w:rPr>
                <w:rFonts w:ascii="Times New Roman" w:hAnsi="Times New Roman" w:cs="Times New Roman"/>
                <w:sz w:val="24"/>
                <w:szCs w:val="24"/>
              </w:rPr>
              <w:t>:</w:t>
            </w:r>
          </w:p>
          <w:p w14:paraId="08F6DCB1" w14:textId="77777777" w:rsidR="005E5488" w:rsidRPr="00F95525" w:rsidRDefault="00D3798F" w:rsidP="00FE591F">
            <w:pPr>
              <w:pStyle w:val="TableParagraph"/>
              <w:numPr>
                <w:ilvl w:val="0"/>
                <w:numId w:val="13"/>
              </w:numPr>
              <w:ind w:right="90"/>
              <w:jc w:val="both"/>
              <w:rPr>
                <w:rStyle w:val="Hyperlink"/>
                <w:color w:val="auto"/>
                <w:sz w:val="24"/>
                <w:szCs w:val="24"/>
                <w:u w:val="none"/>
                <w:lang w:val="en-GB"/>
              </w:rPr>
            </w:pPr>
            <w:hyperlink r:id="rId20" w:history="1">
              <w:r w:rsidR="005E5488" w:rsidRPr="005E5488">
                <w:rPr>
                  <w:rStyle w:val="Hyperlink"/>
                  <w:sz w:val="24"/>
                  <w:szCs w:val="24"/>
                  <w:lang w:val="en-GB"/>
                </w:rPr>
                <w:t>Press Release</w:t>
              </w:r>
            </w:hyperlink>
            <w:r w:rsidR="00F95525">
              <w:rPr>
                <w:sz w:val="24"/>
                <w:szCs w:val="24"/>
                <w:lang w:val="en-GB"/>
              </w:rPr>
              <w:t>;</w:t>
            </w:r>
          </w:p>
          <w:p w14:paraId="017D35F7" w14:textId="77777777" w:rsidR="00F95525" w:rsidRPr="005E5488" w:rsidRDefault="00F95525" w:rsidP="00FE591F">
            <w:pPr>
              <w:pStyle w:val="TableParagraph"/>
              <w:numPr>
                <w:ilvl w:val="0"/>
                <w:numId w:val="13"/>
              </w:numPr>
              <w:ind w:right="90"/>
              <w:jc w:val="both"/>
              <w:rPr>
                <w:sz w:val="24"/>
                <w:szCs w:val="24"/>
                <w:lang w:val="en-GB"/>
              </w:rPr>
            </w:pPr>
            <w:r w:rsidRPr="00F95525">
              <w:rPr>
                <w:sz w:val="24"/>
                <w:szCs w:val="24"/>
                <w:lang w:val="en-GB"/>
              </w:rPr>
              <w:t xml:space="preserve">Written requests (by mail or </w:t>
            </w:r>
            <w:hyperlink r:id="rId21" w:history="1">
              <w:r w:rsidRPr="000E33A7">
                <w:rPr>
                  <w:rStyle w:val="Hyperlink"/>
                  <w:sz w:val="24"/>
                  <w:szCs w:val="24"/>
                  <w:lang w:val="en-GB" w:eastAsia="en-GB"/>
                </w:rPr>
                <w:t>e</w:t>
              </w:r>
              <w:r w:rsidR="00EB41C7">
                <w:rPr>
                  <w:rStyle w:val="Hyperlink"/>
                  <w:sz w:val="24"/>
                  <w:szCs w:val="24"/>
                  <w:lang w:val="en-GB" w:eastAsia="en-GB"/>
                </w:rPr>
                <w:t>-</w:t>
              </w:r>
              <w:r w:rsidRPr="000E33A7">
                <w:rPr>
                  <w:rStyle w:val="Hyperlink"/>
                  <w:sz w:val="24"/>
                  <w:szCs w:val="24"/>
                  <w:lang w:val="en-GB" w:eastAsia="en-GB"/>
                </w:rPr>
                <w:t>mail</w:t>
              </w:r>
            </w:hyperlink>
            <w:r w:rsidRPr="00F95525">
              <w:rPr>
                <w:sz w:val="24"/>
                <w:szCs w:val="24"/>
                <w:lang w:val="en-GB"/>
              </w:rPr>
              <w:t>);</w:t>
            </w:r>
          </w:p>
          <w:p w14:paraId="3B8BF908" w14:textId="77777777" w:rsidR="005E5488" w:rsidRPr="00851663" w:rsidRDefault="00D3798F" w:rsidP="00FE591F">
            <w:pPr>
              <w:pStyle w:val="TableParagraph"/>
              <w:numPr>
                <w:ilvl w:val="0"/>
                <w:numId w:val="13"/>
              </w:numPr>
              <w:tabs>
                <w:tab w:val="left" w:pos="348"/>
              </w:tabs>
              <w:jc w:val="both"/>
              <w:rPr>
                <w:rStyle w:val="Hyperlink"/>
                <w:color w:val="auto"/>
                <w:sz w:val="24"/>
                <w:szCs w:val="24"/>
                <w:u w:val="none"/>
                <w:lang w:val="en-GB"/>
              </w:rPr>
            </w:pPr>
            <w:hyperlink r:id="rId22" w:anchor="tab2" w:history="1">
              <w:r w:rsidR="005E5488" w:rsidRPr="005E5488">
                <w:rPr>
                  <w:rStyle w:val="Hyperlink"/>
                  <w:sz w:val="24"/>
                  <w:szCs w:val="24"/>
                  <w:lang w:val="en-GB"/>
                </w:rPr>
                <w:t>The data in tabular form</w:t>
              </w:r>
            </w:hyperlink>
            <w:r w:rsidR="00F95525">
              <w:rPr>
                <w:rStyle w:val="Hyperlink"/>
                <w:sz w:val="24"/>
                <w:szCs w:val="24"/>
                <w:lang w:val="en-GB"/>
              </w:rPr>
              <w:t>;</w:t>
            </w:r>
          </w:p>
          <w:p w14:paraId="03DD7982" w14:textId="77777777" w:rsidR="00851663" w:rsidRPr="005E5488" w:rsidRDefault="00851663" w:rsidP="00FE591F">
            <w:pPr>
              <w:pStyle w:val="TableParagraph"/>
              <w:numPr>
                <w:ilvl w:val="0"/>
                <w:numId w:val="13"/>
              </w:numPr>
              <w:tabs>
                <w:tab w:val="left" w:pos="348"/>
              </w:tabs>
              <w:jc w:val="both"/>
              <w:rPr>
                <w:sz w:val="24"/>
                <w:szCs w:val="24"/>
                <w:lang w:val="en-GB"/>
              </w:rPr>
            </w:pPr>
            <w:r w:rsidRPr="00DB35D6">
              <w:rPr>
                <w:noProof/>
                <w:color w:val="000000"/>
                <w:sz w:val="24"/>
                <w:szCs w:val="24"/>
                <w:lang w:val="sq-AL" w:eastAsia="sq-AL"/>
              </w:rPr>
              <w:t>Special publications (General printed publications, Statistical yearbook)</w:t>
            </w:r>
            <w:r>
              <w:rPr>
                <w:noProof/>
                <w:color w:val="000000"/>
                <w:sz w:val="24"/>
                <w:szCs w:val="24"/>
                <w:lang w:val="sq-AL" w:eastAsia="sq-AL"/>
              </w:rPr>
              <w:t>;</w:t>
            </w:r>
          </w:p>
          <w:p w14:paraId="628B27BF" w14:textId="77777777" w:rsidR="005E5488" w:rsidRPr="005E5488" w:rsidRDefault="00D3798F" w:rsidP="00851663">
            <w:pPr>
              <w:pStyle w:val="TableParagraph"/>
              <w:numPr>
                <w:ilvl w:val="0"/>
                <w:numId w:val="13"/>
              </w:numPr>
              <w:tabs>
                <w:tab w:val="left" w:pos="348"/>
              </w:tabs>
              <w:spacing w:after="240"/>
              <w:jc w:val="both"/>
              <w:rPr>
                <w:sz w:val="24"/>
                <w:lang w:val="en-GB"/>
              </w:rPr>
            </w:pPr>
            <w:hyperlink r:id="rId23" w:history="1">
              <w:r w:rsidR="00F95525">
                <w:rPr>
                  <w:rStyle w:val="Hyperlink"/>
                  <w:sz w:val="24"/>
                  <w:szCs w:val="24"/>
                  <w:lang w:val="en-GB"/>
                </w:rPr>
                <w:t>Data request</w:t>
              </w:r>
            </w:hyperlink>
            <w:r w:rsidR="00F95525" w:rsidRPr="00F95525">
              <w:rPr>
                <w:rStyle w:val="Hyperlink"/>
                <w:color w:val="auto"/>
                <w:sz w:val="24"/>
                <w:szCs w:val="24"/>
                <w:u w:val="none"/>
                <w:lang w:val="en-GB"/>
              </w:rPr>
              <w:t xml:space="preserve"> via the form on the INSTAT website</w:t>
            </w:r>
            <w:r w:rsidR="00F95525">
              <w:rPr>
                <w:rStyle w:val="Hyperlink"/>
                <w:color w:val="auto"/>
                <w:sz w:val="24"/>
                <w:szCs w:val="24"/>
                <w:u w:val="none"/>
                <w:lang w:val="en-GB"/>
              </w:rPr>
              <w:t>.</w:t>
            </w:r>
          </w:p>
        </w:tc>
      </w:tr>
      <w:tr w:rsidR="00617106" w:rsidRPr="00881015" w14:paraId="25B74E94" w14:textId="77777777" w:rsidTr="00AE7C58">
        <w:trPr>
          <w:trHeight w:val="562"/>
        </w:trPr>
        <w:tc>
          <w:tcPr>
            <w:tcW w:w="2371" w:type="dxa"/>
            <w:shd w:val="clear" w:color="auto" w:fill="FBD4B4" w:themeFill="accent6" w:themeFillTint="66"/>
            <w:noWrap/>
            <w:vAlign w:val="center"/>
            <w:hideMark/>
          </w:tcPr>
          <w:p w14:paraId="5895CF4C" w14:textId="77777777" w:rsidR="007B1894" w:rsidRPr="00881015" w:rsidRDefault="007B1894" w:rsidP="00881015">
            <w:pPr>
              <w:pStyle w:val="Heading1"/>
              <w:spacing w:before="0"/>
              <w:rPr>
                <w:rFonts w:ascii="Times New Roman" w:eastAsia="Times New Roman" w:hAnsi="Times New Roman" w:cs="Times New Roman"/>
                <w:noProof/>
                <w:color w:val="000000" w:themeColor="text1"/>
                <w:sz w:val="24"/>
                <w:szCs w:val="24"/>
                <w:lang w:val="sq-AL" w:eastAsia="sq-AL"/>
              </w:rPr>
            </w:pPr>
            <w:bookmarkStart w:id="8" w:name="_Toc69202496"/>
            <w:r w:rsidRPr="00493D72">
              <w:rPr>
                <w:rFonts w:ascii="Times New Roman" w:eastAsia="Times New Roman" w:hAnsi="Times New Roman" w:cs="Times New Roman"/>
                <w:noProof/>
                <w:color w:val="000000" w:themeColor="text1"/>
                <w:sz w:val="24"/>
                <w:szCs w:val="24"/>
                <w:lang w:val="sq-AL" w:eastAsia="sq-AL"/>
              </w:rPr>
              <w:lastRenderedPageBreak/>
              <w:t xml:space="preserve">9. </w:t>
            </w:r>
            <w:r w:rsidR="00085E7D" w:rsidRPr="00493D72">
              <w:rPr>
                <w:rFonts w:ascii="Times New Roman" w:eastAsia="Times New Roman" w:hAnsi="Times New Roman" w:cs="Times New Roman"/>
                <w:noProof/>
                <w:color w:val="000000" w:themeColor="text1"/>
                <w:sz w:val="24"/>
                <w:szCs w:val="24"/>
                <w:lang w:val="sq-AL" w:eastAsia="sq-AL"/>
              </w:rPr>
              <w:t>Frequency of dissemination</w:t>
            </w:r>
            <w:bookmarkEnd w:id="8"/>
          </w:p>
        </w:tc>
        <w:tc>
          <w:tcPr>
            <w:tcW w:w="8311" w:type="dxa"/>
            <w:shd w:val="clear" w:color="auto" w:fill="auto"/>
            <w:noWrap/>
            <w:vAlign w:val="center"/>
            <w:hideMark/>
          </w:tcPr>
          <w:p w14:paraId="063E7912" w14:textId="439AA585" w:rsidR="007B1894" w:rsidRPr="00881015" w:rsidRDefault="00806CA7" w:rsidP="006D535F">
            <w:pPr>
              <w:spacing w:before="120" w:after="120" w:line="240" w:lineRule="auto"/>
              <w:ind w:left="101" w:right="86"/>
              <w:jc w:val="both"/>
              <w:rPr>
                <w:rFonts w:ascii="Times New Roman" w:eastAsia="Times New Roman" w:hAnsi="Times New Roman" w:cs="Times New Roman"/>
                <w:b/>
                <w:noProof/>
                <w:color w:val="000000" w:themeColor="text1"/>
                <w:sz w:val="24"/>
                <w:szCs w:val="24"/>
                <w:highlight w:val="yellow"/>
                <w:lang w:val="sq-AL" w:eastAsia="sq-AL"/>
              </w:rPr>
            </w:pPr>
            <w:r w:rsidRPr="00D1061A">
              <w:rPr>
                <w:rFonts w:ascii="Times New Roman" w:eastAsia="Times New Roman" w:hAnsi="Times New Roman" w:cs="Times New Roman"/>
                <w:noProof/>
                <w:color w:val="000000"/>
                <w:sz w:val="24"/>
                <w:szCs w:val="24"/>
                <w:lang w:val="sq-AL" w:eastAsia="sq-AL"/>
              </w:rPr>
              <w:t xml:space="preserve">Accomodation </w:t>
            </w:r>
            <w:r w:rsidR="00881015" w:rsidRPr="00D1061A">
              <w:rPr>
                <w:rFonts w:ascii="Times New Roman" w:eastAsia="Times New Roman" w:hAnsi="Times New Roman" w:cs="Times New Roman"/>
                <w:noProof/>
                <w:color w:val="000000"/>
                <w:sz w:val="24"/>
                <w:szCs w:val="24"/>
                <w:lang w:val="sq-AL" w:eastAsia="sq-AL"/>
              </w:rPr>
              <w:t xml:space="preserve">Establishments </w:t>
            </w:r>
            <w:r w:rsidRPr="00D1061A">
              <w:rPr>
                <w:rFonts w:ascii="Times New Roman" w:eastAsia="Times New Roman" w:hAnsi="Times New Roman" w:cs="Times New Roman"/>
                <w:noProof/>
                <w:color w:val="000000"/>
                <w:sz w:val="24"/>
                <w:szCs w:val="24"/>
                <w:lang w:val="sq-AL" w:eastAsia="sq-AL"/>
              </w:rPr>
              <w:t>Statistics</w:t>
            </w:r>
            <w:r w:rsidR="004A3666" w:rsidRPr="00D1061A">
              <w:rPr>
                <w:rFonts w:ascii="Times New Roman" w:eastAsia="Times New Roman" w:hAnsi="Times New Roman" w:cs="Times New Roman"/>
                <w:noProof/>
                <w:color w:val="000000"/>
                <w:sz w:val="24"/>
                <w:szCs w:val="24"/>
                <w:lang w:val="sq-AL" w:eastAsia="sq-AL"/>
              </w:rPr>
              <w:t xml:space="preserve"> 20</w:t>
            </w:r>
            <w:r w:rsidR="006F2A0D" w:rsidRPr="00D1061A">
              <w:rPr>
                <w:rFonts w:ascii="Times New Roman" w:eastAsia="Times New Roman" w:hAnsi="Times New Roman" w:cs="Times New Roman"/>
                <w:noProof/>
                <w:color w:val="000000"/>
                <w:sz w:val="24"/>
                <w:szCs w:val="24"/>
                <w:lang w:val="sq-AL" w:eastAsia="sq-AL"/>
              </w:rPr>
              <w:t>20</w:t>
            </w:r>
            <w:r w:rsidRPr="00D1061A">
              <w:rPr>
                <w:rFonts w:ascii="Times New Roman" w:eastAsia="Times New Roman" w:hAnsi="Times New Roman" w:cs="Times New Roman"/>
                <w:noProof/>
                <w:color w:val="000000"/>
                <w:sz w:val="24"/>
                <w:szCs w:val="24"/>
                <w:lang w:val="sq-AL" w:eastAsia="sq-AL"/>
              </w:rPr>
              <w:t xml:space="preserve"> data are disseminated on </w:t>
            </w:r>
            <w:r w:rsidR="006F2A0D" w:rsidRPr="00D1061A">
              <w:rPr>
                <w:rFonts w:ascii="Times New Roman" w:eastAsia="Times New Roman" w:hAnsi="Times New Roman" w:cs="Times New Roman"/>
                <w:noProof/>
                <w:color w:val="000000"/>
                <w:sz w:val="24"/>
                <w:szCs w:val="24"/>
                <w:lang w:val="sq-AL" w:eastAsia="sq-AL"/>
              </w:rPr>
              <w:t xml:space="preserve">quarterly and </w:t>
            </w:r>
            <w:r w:rsidR="00B77B75" w:rsidRPr="00D1061A">
              <w:rPr>
                <w:rFonts w:ascii="Times New Roman" w:eastAsia="Times New Roman" w:hAnsi="Times New Roman" w:cs="Times New Roman"/>
                <w:noProof/>
                <w:color w:val="000000"/>
                <w:sz w:val="24"/>
                <w:szCs w:val="24"/>
                <w:lang w:val="sq-AL" w:eastAsia="sq-AL"/>
              </w:rPr>
              <w:t>yearly</w:t>
            </w:r>
            <w:r w:rsidRPr="00D1061A">
              <w:rPr>
                <w:rFonts w:ascii="Times New Roman" w:eastAsia="Times New Roman" w:hAnsi="Times New Roman" w:cs="Times New Roman"/>
                <w:noProof/>
                <w:color w:val="000000"/>
                <w:sz w:val="24"/>
                <w:szCs w:val="24"/>
                <w:lang w:val="sq-AL" w:eastAsia="sq-AL"/>
              </w:rPr>
              <w:t xml:space="preserve"> basis.</w:t>
            </w:r>
          </w:p>
        </w:tc>
      </w:tr>
      <w:tr w:rsidR="007B1894" w:rsidRPr="00493D72" w14:paraId="4B504D2A" w14:textId="77777777" w:rsidTr="00AE7C58">
        <w:trPr>
          <w:trHeight w:val="562"/>
        </w:trPr>
        <w:tc>
          <w:tcPr>
            <w:tcW w:w="0" w:type="auto"/>
            <w:gridSpan w:val="2"/>
            <w:shd w:val="clear" w:color="auto" w:fill="FBD4B4" w:themeFill="accent6" w:themeFillTint="66"/>
            <w:noWrap/>
            <w:vAlign w:val="center"/>
            <w:hideMark/>
          </w:tcPr>
          <w:p w14:paraId="044E4F99" w14:textId="77777777" w:rsidR="007B1894" w:rsidRPr="00DB35D6" w:rsidRDefault="007B1894" w:rsidP="00493D72">
            <w:pPr>
              <w:pStyle w:val="Heading1"/>
              <w:spacing w:before="0"/>
              <w:rPr>
                <w:rFonts w:ascii="Times New Roman" w:eastAsia="Times New Roman" w:hAnsi="Times New Roman" w:cs="Times New Roman"/>
                <w:b w:val="0"/>
                <w:bCs w:val="0"/>
                <w:noProof/>
                <w:sz w:val="24"/>
                <w:szCs w:val="24"/>
                <w:lang w:val="sq-AL" w:eastAsia="sq-AL"/>
              </w:rPr>
            </w:pPr>
            <w:bookmarkStart w:id="9" w:name="_Toc69202497"/>
            <w:r w:rsidRPr="00DB35D6">
              <w:rPr>
                <w:rFonts w:ascii="Times New Roman" w:eastAsia="Times New Roman" w:hAnsi="Times New Roman" w:cs="Times New Roman"/>
                <w:noProof/>
                <w:color w:val="000000" w:themeColor="text1"/>
                <w:sz w:val="24"/>
                <w:szCs w:val="24"/>
                <w:lang w:val="sq-AL" w:eastAsia="sq-AL"/>
              </w:rPr>
              <w:t xml:space="preserve">10. </w:t>
            </w:r>
            <w:r w:rsidR="00085E7D" w:rsidRPr="00DB35D6">
              <w:rPr>
                <w:rFonts w:ascii="Times New Roman" w:eastAsia="Times New Roman" w:hAnsi="Times New Roman" w:cs="Times New Roman"/>
                <w:noProof/>
                <w:color w:val="000000" w:themeColor="text1"/>
                <w:sz w:val="24"/>
                <w:szCs w:val="24"/>
                <w:lang w:val="sq-AL" w:eastAsia="sq-AL"/>
              </w:rPr>
              <w:t>Accessibility and clarity</w:t>
            </w:r>
            <w:bookmarkEnd w:id="9"/>
          </w:p>
        </w:tc>
      </w:tr>
      <w:tr w:rsidR="00473EF5" w:rsidRPr="00493D72" w14:paraId="5D5AC53D" w14:textId="77777777" w:rsidTr="00AE7C58">
        <w:trPr>
          <w:trHeight w:val="562"/>
        </w:trPr>
        <w:tc>
          <w:tcPr>
            <w:tcW w:w="2371" w:type="dxa"/>
            <w:shd w:val="clear" w:color="auto" w:fill="FFFFCC"/>
            <w:noWrap/>
            <w:vAlign w:val="center"/>
            <w:hideMark/>
          </w:tcPr>
          <w:p w14:paraId="62AD2104"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10.1. New</w:t>
            </w:r>
            <w:r w:rsidR="0004120E">
              <w:rPr>
                <w:rFonts w:ascii="Times New Roman" w:eastAsia="Times New Roman" w:hAnsi="Times New Roman" w:cs="Times New Roman"/>
                <w:noProof/>
                <w:color w:val="000000"/>
                <w:sz w:val="24"/>
                <w:szCs w:val="24"/>
                <w:lang w:val="sq-AL" w:eastAsia="sq-AL"/>
              </w:rPr>
              <w:t>s</w:t>
            </w:r>
            <w:r w:rsidRPr="00493D72">
              <w:rPr>
                <w:rFonts w:ascii="Times New Roman" w:eastAsia="Times New Roman" w:hAnsi="Times New Roman" w:cs="Times New Roman"/>
                <w:noProof/>
                <w:color w:val="000000"/>
                <w:sz w:val="24"/>
                <w:szCs w:val="24"/>
                <w:lang w:val="sq-AL" w:eastAsia="sq-AL"/>
              </w:rPr>
              <w:t xml:space="preserve"> release</w:t>
            </w:r>
          </w:p>
        </w:tc>
        <w:tc>
          <w:tcPr>
            <w:tcW w:w="8311" w:type="dxa"/>
            <w:shd w:val="clear" w:color="auto" w:fill="auto"/>
            <w:vAlign w:val="center"/>
          </w:tcPr>
          <w:p w14:paraId="26D891B6" w14:textId="3F0F6081" w:rsidR="00F90C2A" w:rsidRPr="00DB35D6" w:rsidRDefault="00F90C2A" w:rsidP="00437C5E">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E82111">
              <w:rPr>
                <w:rFonts w:ascii="Times New Roman" w:eastAsia="Times New Roman" w:hAnsi="Times New Roman" w:cs="Times New Roman"/>
                <w:noProof/>
                <w:color w:val="000000"/>
                <w:sz w:val="24"/>
                <w:szCs w:val="24"/>
                <w:lang w:val="sq-AL" w:eastAsia="sq-AL"/>
              </w:rPr>
              <w:t>The news release on Accommodation Establishments Survey statistics are available on INSTAT website.</w:t>
            </w:r>
            <w:r w:rsidR="001E3DCA">
              <w:rPr>
                <w:rFonts w:ascii="Times New Roman" w:eastAsia="Times New Roman" w:hAnsi="Times New Roman" w:cs="Times New Roman"/>
                <w:noProof/>
                <w:color w:val="000000"/>
                <w:sz w:val="24"/>
                <w:szCs w:val="24"/>
                <w:lang w:val="sq-AL" w:eastAsia="sq-AL"/>
              </w:rPr>
              <w:t xml:space="preserve"> </w:t>
            </w:r>
            <w:r w:rsidR="001E3DCA" w:rsidRPr="0003509A">
              <w:rPr>
                <w:rFonts w:ascii="Times New Roman" w:hAnsi="Times New Roman" w:cs="Times New Roman"/>
                <w:sz w:val="24"/>
                <w:szCs w:val="24"/>
                <w:lang w:val="en-GB"/>
              </w:rPr>
              <w:t xml:space="preserve">The format of press release is defined by publication sector as well as the date of release. Press releases of </w:t>
            </w:r>
            <w:r w:rsidR="00E15D77" w:rsidRPr="00E82111">
              <w:rPr>
                <w:rFonts w:ascii="Times New Roman" w:eastAsia="Times New Roman" w:hAnsi="Times New Roman" w:cs="Times New Roman"/>
                <w:noProof/>
                <w:color w:val="000000"/>
                <w:sz w:val="24"/>
                <w:szCs w:val="24"/>
                <w:lang w:val="sq-AL" w:eastAsia="sq-AL"/>
              </w:rPr>
              <w:t>Accommodation Establishments</w:t>
            </w:r>
            <w:r w:rsidR="001E3DCA" w:rsidRPr="0003509A">
              <w:rPr>
                <w:rFonts w:ascii="Times New Roman" w:hAnsi="Times New Roman" w:cs="Times New Roman"/>
                <w:sz w:val="24"/>
                <w:szCs w:val="24"/>
                <w:lang w:val="en-GB"/>
              </w:rPr>
              <w:t xml:space="preserve"> Survey are published online at INSTAT's website.</w:t>
            </w:r>
          </w:p>
        </w:tc>
      </w:tr>
      <w:tr w:rsidR="00473EF5" w:rsidRPr="00493D72" w14:paraId="2F4D5FA7" w14:textId="77777777" w:rsidTr="00EA1937">
        <w:trPr>
          <w:trHeight w:val="567"/>
        </w:trPr>
        <w:tc>
          <w:tcPr>
            <w:tcW w:w="2371" w:type="dxa"/>
            <w:shd w:val="clear" w:color="auto" w:fill="FFFFCC"/>
            <w:noWrap/>
            <w:vAlign w:val="center"/>
            <w:hideMark/>
          </w:tcPr>
          <w:p w14:paraId="7E4D91FE"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10.2. Publications</w:t>
            </w:r>
          </w:p>
        </w:tc>
        <w:tc>
          <w:tcPr>
            <w:tcW w:w="8311" w:type="dxa"/>
            <w:shd w:val="clear" w:color="auto" w:fill="auto"/>
            <w:vAlign w:val="center"/>
          </w:tcPr>
          <w:p w14:paraId="00E6BF81" w14:textId="6AEA6393" w:rsidR="00806CA7" w:rsidRPr="00DB35D6" w:rsidRDefault="00D3798F" w:rsidP="005502D1">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hyperlink r:id="rId24" w:anchor="tab3" w:history="1">
              <w:r w:rsidR="00806CA7" w:rsidRPr="00B17C34">
                <w:rPr>
                  <w:rStyle w:val="Hyperlink"/>
                  <w:rFonts w:ascii="Times New Roman" w:eastAsia="Times New Roman" w:hAnsi="Times New Roman" w:cs="Times New Roman"/>
                  <w:noProof/>
                  <w:sz w:val="24"/>
                  <w:szCs w:val="24"/>
                  <w:lang w:val="sq-AL" w:eastAsia="sq-AL"/>
                </w:rPr>
                <w:t>Accomodation Statistics Results</w:t>
              </w:r>
            </w:hyperlink>
            <w:r w:rsidR="00806CA7" w:rsidRPr="00C94C40">
              <w:rPr>
                <w:rFonts w:ascii="Times New Roman" w:eastAsia="Times New Roman" w:hAnsi="Times New Roman" w:cs="Times New Roman"/>
                <w:noProof/>
                <w:color w:val="000000"/>
                <w:sz w:val="24"/>
                <w:szCs w:val="24"/>
                <w:lang w:val="sq-AL" w:eastAsia="sq-AL"/>
              </w:rPr>
              <w:t xml:space="preserve"> are published in a dedicated publication</w:t>
            </w:r>
            <w:r w:rsidR="005502D1">
              <w:rPr>
                <w:rFonts w:ascii="Times New Roman" w:eastAsia="Times New Roman" w:hAnsi="Times New Roman" w:cs="Times New Roman"/>
                <w:noProof/>
                <w:color w:val="000000"/>
                <w:sz w:val="24"/>
                <w:szCs w:val="24"/>
                <w:lang w:val="sq-AL" w:eastAsia="sq-AL"/>
              </w:rPr>
              <w:t xml:space="preserve">, </w:t>
            </w:r>
            <w:hyperlink r:id="rId25" w:history="1">
              <w:r w:rsidR="00806CA7" w:rsidRPr="005502D1">
                <w:rPr>
                  <w:rStyle w:val="Hyperlink"/>
                  <w:rFonts w:ascii="Times New Roman" w:eastAsia="Times New Roman" w:hAnsi="Times New Roman" w:cs="Times New Roman"/>
                  <w:noProof/>
                  <w:sz w:val="24"/>
                  <w:szCs w:val="24"/>
                  <w:lang w:val="sq-AL" w:eastAsia="sq-AL"/>
                </w:rPr>
                <w:t>Regional Statistical Yearbook</w:t>
              </w:r>
              <w:r w:rsidR="005502D1" w:rsidRPr="005502D1">
                <w:rPr>
                  <w:rStyle w:val="Hyperlink"/>
                  <w:rFonts w:ascii="Times New Roman" w:eastAsia="Times New Roman" w:hAnsi="Times New Roman" w:cs="Times New Roman"/>
                  <w:noProof/>
                  <w:sz w:val="24"/>
                  <w:szCs w:val="24"/>
                  <w:lang w:val="sq-AL" w:eastAsia="sq-AL"/>
                </w:rPr>
                <w:t xml:space="preserve"> and Tourism in figures</w:t>
              </w:r>
            </w:hyperlink>
            <w:r w:rsidR="00AF2338" w:rsidRPr="00C94C40">
              <w:rPr>
                <w:rFonts w:ascii="Times New Roman" w:eastAsia="Times New Roman" w:hAnsi="Times New Roman" w:cs="Times New Roman"/>
                <w:noProof/>
                <w:color w:val="000000"/>
                <w:sz w:val="24"/>
                <w:szCs w:val="24"/>
                <w:lang w:val="sq-AL" w:eastAsia="sq-AL"/>
              </w:rPr>
              <w:t>.</w:t>
            </w:r>
          </w:p>
        </w:tc>
      </w:tr>
      <w:tr w:rsidR="00473EF5" w:rsidRPr="00493D72" w14:paraId="4A79A8DA" w14:textId="77777777" w:rsidTr="00EA1937">
        <w:trPr>
          <w:trHeight w:val="567"/>
        </w:trPr>
        <w:tc>
          <w:tcPr>
            <w:tcW w:w="2371" w:type="dxa"/>
            <w:shd w:val="clear" w:color="auto" w:fill="FFFFCC"/>
            <w:noWrap/>
            <w:vAlign w:val="center"/>
            <w:hideMark/>
          </w:tcPr>
          <w:p w14:paraId="465B4E74"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10.3. On-line database</w:t>
            </w:r>
          </w:p>
        </w:tc>
        <w:tc>
          <w:tcPr>
            <w:tcW w:w="8311" w:type="dxa"/>
            <w:shd w:val="clear" w:color="auto" w:fill="auto"/>
            <w:vAlign w:val="center"/>
          </w:tcPr>
          <w:p w14:paraId="37DD93BE" w14:textId="77777777" w:rsidR="00473EF5" w:rsidRPr="003027CF" w:rsidRDefault="003027CF" w:rsidP="003027CF">
            <w:pPr>
              <w:spacing w:before="120" w:after="120" w:line="240" w:lineRule="auto"/>
              <w:ind w:left="101" w:right="86"/>
              <w:jc w:val="both"/>
              <w:rPr>
                <w:rFonts w:ascii="Times New Roman" w:hAnsi="Times New Roman" w:cs="Times New Roman"/>
                <w:sz w:val="24"/>
                <w:szCs w:val="24"/>
              </w:rPr>
            </w:pPr>
            <w:r w:rsidRPr="00E82111">
              <w:rPr>
                <w:rFonts w:ascii="Times New Roman" w:hAnsi="Times New Roman" w:cs="Times New Roman"/>
                <w:sz w:val="24"/>
                <w:szCs w:val="24"/>
              </w:rPr>
              <w:t xml:space="preserve">All the information is available in both </w:t>
            </w:r>
            <w:r w:rsidR="00213B60" w:rsidRPr="00E82111">
              <w:rPr>
                <w:rFonts w:ascii="Times New Roman" w:hAnsi="Times New Roman" w:cs="Times New Roman"/>
                <w:sz w:val="24"/>
                <w:szCs w:val="24"/>
              </w:rPr>
              <w:t>Albanian an</w:t>
            </w:r>
            <w:r w:rsidRPr="00E82111">
              <w:rPr>
                <w:rFonts w:ascii="Times New Roman" w:hAnsi="Times New Roman" w:cs="Times New Roman"/>
                <w:sz w:val="24"/>
                <w:szCs w:val="24"/>
              </w:rPr>
              <w:t xml:space="preserve">d English language. The data on Accommodation Establishments Survey are not located in the statistical database, but detailed data can be found in Excel format where the main indicators are published. These tables can be found at the following link: </w:t>
            </w:r>
            <w:hyperlink r:id="rId26" w:anchor="tab2" w:history="1">
              <w:r w:rsidR="00C94C40" w:rsidRPr="00E82111">
                <w:rPr>
                  <w:rStyle w:val="Hyperlink"/>
                  <w:rFonts w:ascii="Times New Roman" w:eastAsia="Times New Roman" w:hAnsi="Times New Roman" w:cs="Times New Roman"/>
                  <w:noProof/>
                  <w:sz w:val="24"/>
                  <w:szCs w:val="24"/>
                  <w:lang w:val="sq-AL" w:eastAsia="sq-AL"/>
                </w:rPr>
                <w:t>Figures</w:t>
              </w:r>
            </w:hyperlink>
          </w:p>
        </w:tc>
      </w:tr>
      <w:tr w:rsidR="00617106" w:rsidRPr="00493D72" w14:paraId="043E66E4" w14:textId="77777777" w:rsidTr="00EA1937">
        <w:trPr>
          <w:trHeight w:val="567"/>
        </w:trPr>
        <w:tc>
          <w:tcPr>
            <w:tcW w:w="2371" w:type="dxa"/>
            <w:shd w:val="clear" w:color="auto" w:fill="FFFFCC"/>
            <w:noWrap/>
            <w:vAlign w:val="center"/>
            <w:hideMark/>
          </w:tcPr>
          <w:p w14:paraId="384FA251" w14:textId="77777777" w:rsidR="009A7035" w:rsidRPr="00493D72" w:rsidRDefault="009A703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10.4. </w:t>
            </w:r>
            <w:r w:rsidR="00085E7D" w:rsidRPr="00493D72">
              <w:rPr>
                <w:rFonts w:ascii="Times New Roman" w:eastAsia="Times New Roman" w:hAnsi="Times New Roman" w:cs="Times New Roman"/>
                <w:noProof/>
                <w:color w:val="000000"/>
                <w:sz w:val="24"/>
                <w:szCs w:val="24"/>
                <w:lang w:val="sq-AL" w:eastAsia="sq-AL"/>
              </w:rPr>
              <w:t>Micro – data access</w:t>
            </w:r>
            <w:r w:rsidRPr="00493D72">
              <w:rPr>
                <w:rFonts w:ascii="Times New Roman" w:eastAsia="Times New Roman" w:hAnsi="Times New Roman" w:cs="Times New Roman"/>
                <w:noProof/>
                <w:color w:val="000000"/>
                <w:sz w:val="24"/>
                <w:szCs w:val="24"/>
                <w:lang w:val="sq-AL" w:eastAsia="sq-AL"/>
              </w:rPr>
              <w:t xml:space="preserve"> </w:t>
            </w:r>
          </w:p>
        </w:tc>
        <w:tc>
          <w:tcPr>
            <w:tcW w:w="8311" w:type="dxa"/>
            <w:shd w:val="clear" w:color="auto" w:fill="auto"/>
            <w:noWrap/>
            <w:vAlign w:val="center"/>
            <w:hideMark/>
          </w:tcPr>
          <w:p w14:paraId="6212BF36" w14:textId="77777777" w:rsidR="009A7035" w:rsidRPr="00DB35D6" w:rsidRDefault="000E5DDE" w:rsidP="00CF02AF">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 xml:space="preserve">Data </w:t>
            </w:r>
            <w:r w:rsidR="00960526" w:rsidRPr="00DB35D6">
              <w:rPr>
                <w:rFonts w:ascii="Times New Roman" w:eastAsia="Times New Roman" w:hAnsi="Times New Roman" w:cs="Times New Roman"/>
                <w:noProof/>
                <w:color w:val="000000"/>
                <w:sz w:val="24"/>
                <w:szCs w:val="24"/>
                <w:lang w:val="sq-AL" w:eastAsia="sq-AL"/>
              </w:rPr>
              <w:t>bases at micro level are not published due to confidentiality reasons. Aggregated data is the only type of data that is provided to external users. Even the micro data are not published they can be accessed based on the article 31, point 7 of the low No. 17/2018, dated 17.04.2018 “On official statistics”.</w:t>
            </w:r>
          </w:p>
        </w:tc>
      </w:tr>
      <w:tr w:rsidR="00617106" w:rsidRPr="00493D72" w14:paraId="61245BC4" w14:textId="77777777" w:rsidTr="00EA1937">
        <w:trPr>
          <w:trHeight w:val="567"/>
        </w:trPr>
        <w:tc>
          <w:tcPr>
            <w:tcW w:w="2371" w:type="dxa"/>
            <w:shd w:val="clear" w:color="auto" w:fill="FFFFCC"/>
            <w:noWrap/>
            <w:vAlign w:val="center"/>
            <w:hideMark/>
          </w:tcPr>
          <w:p w14:paraId="68FDFE5C" w14:textId="77777777" w:rsidR="009A7035" w:rsidRPr="00493D72" w:rsidRDefault="009A703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10.5. </w:t>
            </w:r>
            <w:r w:rsidR="00085E7D" w:rsidRPr="00493D72">
              <w:rPr>
                <w:rFonts w:ascii="Times New Roman" w:eastAsia="Times New Roman" w:hAnsi="Times New Roman" w:cs="Times New Roman"/>
                <w:noProof/>
                <w:color w:val="000000"/>
                <w:sz w:val="24"/>
                <w:szCs w:val="24"/>
                <w:lang w:val="sq-AL" w:eastAsia="sq-AL"/>
              </w:rPr>
              <w:t>Other</w:t>
            </w:r>
          </w:p>
        </w:tc>
        <w:tc>
          <w:tcPr>
            <w:tcW w:w="8311" w:type="dxa"/>
            <w:shd w:val="clear" w:color="auto" w:fill="auto"/>
            <w:noWrap/>
            <w:vAlign w:val="center"/>
            <w:hideMark/>
          </w:tcPr>
          <w:p w14:paraId="7313FED6" w14:textId="77777777" w:rsidR="009A7035" w:rsidRPr="00DB35D6" w:rsidRDefault="001671B8" w:rsidP="00CF02AF">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E82111">
              <w:rPr>
                <w:rFonts w:ascii="Times New Roman" w:eastAsia="Times New Roman" w:hAnsi="Times New Roman" w:cs="Times New Roman"/>
                <w:noProof/>
                <w:color w:val="000000"/>
                <w:sz w:val="24"/>
                <w:szCs w:val="24"/>
                <w:lang w:val="sq-AL" w:eastAsia="sq-AL"/>
              </w:rPr>
              <w:t xml:space="preserve">Users can submit specific requests for data from the survey through the INSTAT website: </w:t>
            </w:r>
            <w:hyperlink r:id="rId27" w:history="1">
              <w:r w:rsidRPr="00E82111">
                <w:rPr>
                  <w:rStyle w:val="Hyperlink"/>
                  <w:rFonts w:ascii="Times New Roman" w:eastAsia="Times New Roman" w:hAnsi="Times New Roman" w:cs="Times New Roman"/>
                  <w:noProof/>
                  <w:sz w:val="24"/>
                  <w:szCs w:val="24"/>
                  <w:lang w:val="sq-AL" w:eastAsia="sq-AL"/>
                </w:rPr>
                <w:t>Data request</w:t>
              </w:r>
            </w:hyperlink>
          </w:p>
        </w:tc>
      </w:tr>
      <w:tr w:rsidR="00473EF5" w:rsidRPr="00493D72" w14:paraId="79CED172" w14:textId="77777777" w:rsidTr="00EA1937">
        <w:trPr>
          <w:trHeight w:val="567"/>
        </w:trPr>
        <w:tc>
          <w:tcPr>
            <w:tcW w:w="2371" w:type="dxa"/>
            <w:shd w:val="clear" w:color="auto" w:fill="FFFFCC"/>
            <w:noWrap/>
            <w:vAlign w:val="center"/>
            <w:hideMark/>
          </w:tcPr>
          <w:p w14:paraId="4AE14A24"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10.6. Documentation on methodology</w:t>
            </w:r>
          </w:p>
        </w:tc>
        <w:tc>
          <w:tcPr>
            <w:tcW w:w="8311" w:type="dxa"/>
            <w:shd w:val="clear" w:color="auto" w:fill="auto"/>
            <w:vAlign w:val="center"/>
          </w:tcPr>
          <w:p w14:paraId="3FE61C0C" w14:textId="77777777" w:rsidR="00473EF5" w:rsidRPr="00DB35D6" w:rsidRDefault="00806CA7" w:rsidP="00CF02AF">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806CA7">
              <w:rPr>
                <w:rFonts w:ascii="Times New Roman" w:eastAsia="Times New Roman" w:hAnsi="Times New Roman" w:cs="Times New Roman"/>
                <w:noProof/>
                <w:color w:val="000000"/>
                <w:sz w:val="24"/>
                <w:szCs w:val="24"/>
                <w:lang w:val="sq-AL" w:eastAsia="sq-AL"/>
              </w:rPr>
              <w:t>A short explanation related to the defin</w:t>
            </w:r>
            <w:r>
              <w:rPr>
                <w:rFonts w:ascii="Times New Roman" w:eastAsia="Times New Roman" w:hAnsi="Times New Roman" w:cs="Times New Roman"/>
                <w:noProof/>
                <w:color w:val="000000"/>
                <w:sz w:val="24"/>
                <w:szCs w:val="24"/>
                <w:lang w:val="sq-AL" w:eastAsia="sq-AL"/>
              </w:rPr>
              <w:t xml:space="preserve">itions of the main concepts and </w:t>
            </w:r>
            <w:r w:rsidRPr="00806CA7">
              <w:rPr>
                <w:rFonts w:ascii="Times New Roman" w:eastAsia="Times New Roman" w:hAnsi="Times New Roman" w:cs="Times New Roman"/>
                <w:noProof/>
                <w:color w:val="000000"/>
                <w:sz w:val="24"/>
                <w:szCs w:val="24"/>
                <w:lang w:val="sq-AL" w:eastAsia="sq-AL"/>
              </w:rPr>
              <w:t>methodological explanations are provided to use</w:t>
            </w:r>
            <w:r>
              <w:rPr>
                <w:rFonts w:ascii="Times New Roman" w:eastAsia="Times New Roman" w:hAnsi="Times New Roman" w:cs="Times New Roman"/>
                <w:noProof/>
                <w:color w:val="000000"/>
                <w:sz w:val="24"/>
                <w:szCs w:val="24"/>
                <w:lang w:val="sq-AL" w:eastAsia="sq-AL"/>
              </w:rPr>
              <w:t xml:space="preserve">rs in the end of press releases </w:t>
            </w:r>
            <w:r w:rsidRPr="00806CA7">
              <w:rPr>
                <w:rFonts w:ascii="Times New Roman" w:eastAsia="Times New Roman" w:hAnsi="Times New Roman" w:cs="Times New Roman"/>
                <w:noProof/>
                <w:color w:val="000000"/>
                <w:sz w:val="24"/>
                <w:szCs w:val="24"/>
                <w:lang w:val="sq-AL" w:eastAsia="sq-AL"/>
              </w:rPr>
              <w:t>and publications. Additional support informa</w:t>
            </w:r>
            <w:r>
              <w:rPr>
                <w:rFonts w:ascii="Times New Roman" w:eastAsia="Times New Roman" w:hAnsi="Times New Roman" w:cs="Times New Roman"/>
                <w:noProof/>
                <w:color w:val="000000"/>
                <w:sz w:val="24"/>
                <w:szCs w:val="24"/>
                <w:lang w:val="sq-AL" w:eastAsia="sq-AL"/>
              </w:rPr>
              <w:t xml:space="preserve">tion is given to internal users </w:t>
            </w:r>
            <w:r w:rsidRPr="00806CA7">
              <w:rPr>
                <w:rFonts w:ascii="Times New Roman" w:eastAsia="Times New Roman" w:hAnsi="Times New Roman" w:cs="Times New Roman"/>
                <w:noProof/>
                <w:color w:val="000000"/>
                <w:sz w:val="24"/>
                <w:szCs w:val="24"/>
                <w:lang w:val="sq-AL" w:eastAsia="sq-AL"/>
              </w:rPr>
              <w:t>wh</w:t>
            </w:r>
            <w:r>
              <w:rPr>
                <w:rFonts w:ascii="Times New Roman" w:eastAsia="Times New Roman" w:hAnsi="Times New Roman" w:cs="Times New Roman"/>
                <w:noProof/>
                <w:color w:val="000000"/>
                <w:sz w:val="24"/>
                <w:szCs w:val="24"/>
                <w:lang w:val="sq-AL" w:eastAsia="sq-AL"/>
              </w:rPr>
              <w:t>en needed or required.</w:t>
            </w:r>
          </w:p>
        </w:tc>
      </w:tr>
      <w:tr w:rsidR="00617106" w:rsidRPr="00493D72" w14:paraId="4E7D0C91" w14:textId="77777777" w:rsidTr="00EA1937">
        <w:trPr>
          <w:trHeight w:val="567"/>
        </w:trPr>
        <w:tc>
          <w:tcPr>
            <w:tcW w:w="2371" w:type="dxa"/>
            <w:shd w:val="clear" w:color="auto" w:fill="FFFFCC"/>
            <w:noWrap/>
            <w:vAlign w:val="center"/>
            <w:hideMark/>
          </w:tcPr>
          <w:p w14:paraId="0E46017F" w14:textId="77777777" w:rsidR="00547988" w:rsidRPr="00493D72" w:rsidRDefault="00547988"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10.7. </w:t>
            </w:r>
            <w:r w:rsidR="00085E7D" w:rsidRPr="00493D72">
              <w:rPr>
                <w:rFonts w:ascii="Times New Roman" w:eastAsia="Times New Roman" w:hAnsi="Times New Roman" w:cs="Times New Roman"/>
                <w:noProof/>
                <w:color w:val="000000"/>
                <w:sz w:val="24"/>
                <w:szCs w:val="24"/>
                <w:lang w:val="sq-AL" w:eastAsia="sq-AL"/>
              </w:rPr>
              <w:t>Quality documentation</w:t>
            </w:r>
          </w:p>
        </w:tc>
        <w:tc>
          <w:tcPr>
            <w:tcW w:w="8311" w:type="dxa"/>
            <w:shd w:val="clear" w:color="auto" w:fill="auto"/>
            <w:noWrap/>
            <w:vAlign w:val="center"/>
            <w:hideMark/>
          </w:tcPr>
          <w:p w14:paraId="2EB41B03" w14:textId="77777777" w:rsidR="00547988" w:rsidRPr="00DB35D6" w:rsidRDefault="00C94C40" w:rsidP="00020447">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457DF6">
              <w:rPr>
                <w:rFonts w:ascii="Times New Roman" w:eastAsia="Times New Roman" w:hAnsi="Times New Roman" w:cs="Times New Roman"/>
                <w:noProof/>
                <w:sz w:val="24"/>
                <w:szCs w:val="24"/>
                <w:lang w:val="sq-AL" w:eastAsia="sq-AL"/>
              </w:rPr>
              <w:t xml:space="preserve">The short term statistics unit document all the work processes and procedures </w:t>
            </w:r>
            <w:r w:rsidR="00020447" w:rsidRPr="00457DF6">
              <w:rPr>
                <w:rFonts w:ascii="Times New Roman" w:eastAsia="Times New Roman" w:hAnsi="Times New Roman" w:cs="Times New Roman"/>
                <w:noProof/>
                <w:sz w:val="24"/>
                <w:szCs w:val="24"/>
                <w:lang w:val="sq-AL" w:eastAsia="sq-AL"/>
              </w:rPr>
              <w:t xml:space="preserve">of </w:t>
            </w:r>
            <w:r w:rsidR="00020447" w:rsidRPr="00457DF6">
              <w:rPr>
                <w:rFonts w:ascii="Times New Roman" w:hAnsi="Times New Roman" w:cs="Times New Roman"/>
                <w:sz w:val="24"/>
                <w:szCs w:val="24"/>
              </w:rPr>
              <w:t>Accommodation Establishments Survey</w:t>
            </w:r>
            <w:r w:rsidR="00020447" w:rsidRPr="00457DF6">
              <w:rPr>
                <w:rFonts w:ascii="Times New Roman" w:eastAsia="Times New Roman" w:hAnsi="Times New Roman" w:cs="Times New Roman"/>
                <w:noProof/>
                <w:sz w:val="24"/>
                <w:szCs w:val="24"/>
                <w:lang w:val="sq-AL" w:eastAsia="sq-AL"/>
              </w:rPr>
              <w:t xml:space="preserve"> </w:t>
            </w:r>
            <w:r w:rsidRPr="00457DF6">
              <w:rPr>
                <w:rFonts w:ascii="Times New Roman" w:eastAsia="Times New Roman" w:hAnsi="Times New Roman" w:cs="Times New Roman"/>
                <w:noProof/>
                <w:sz w:val="24"/>
                <w:szCs w:val="24"/>
                <w:lang w:val="sq-AL" w:eastAsia="sq-AL"/>
              </w:rPr>
              <w:t>for internal purposes.</w:t>
            </w:r>
          </w:p>
        </w:tc>
      </w:tr>
      <w:tr w:rsidR="00547988" w:rsidRPr="00493D72" w14:paraId="01DD6529" w14:textId="77777777" w:rsidTr="00493D72">
        <w:trPr>
          <w:trHeight w:val="567"/>
        </w:trPr>
        <w:tc>
          <w:tcPr>
            <w:tcW w:w="0" w:type="auto"/>
            <w:gridSpan w:val="2"/>
            <w:shd w:val="clear" w:color="auto" w:fill="FBD4B4" w:themeFill="accent6" w:themeFillTint="66"/>
            <w:noWrap/>
            <w:vAlign w:val="center"/>
            <w:hideMark/>
          </w:tcPr>
          <w:p w14:paraId="2E5805A5" w14:textId="77777777" w:rsidR="00547988" w:rsidRPr="00DB35D6" w:rsidRDefault="00547988"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0" w:name="_Toc69202498"/>
            <w:r w:rsidRPr="00DB35D6">
              <w:rPr>
                <w:rFonts w:ascii="Times New Roman" w:eastAsia="Times New Roman" w:hAnsi="Times New Roman" w:cs="Times New Roman"/>
                <w:noProof/>
                <w:color w:val="000000" w:themeColor="text1"/>
                <w:sz w:val="24"/>
                <w:szCs w:val="24"/>
                <w:lang w:val="sq-AL" w:eastAsia="sq-AL"/>
              </w:rPr>
              <w:t xml:space="preserve">11. </w:t>
            </w:r>
            <w:r w:rsidR="00286BF7" w:rsidRPr="00DB35D6">
              <w:rPr>
                <w:rFonts w:ascii="Times New Roman" w:eastAsia="Times New Roman" w:hAnsi="Times New Roman" w:cs="Times New Roman"/>
                <w:noProof/>
                <w:color w:val="000000" w:themeColor="text1"/>
                <w:sz w:val="24"/>
                <w:szCs w:val="24"/>
                <w:lang w:val="sq-AL" w:eastAsia="sq-AL"/>
              </w:rPr>
              <w:t>Quality managment</w:t>
            </w:r>
            <w:bookmarkEnd w:id="10"/>
          </w:p>
        </w:tc>
      </w:tr>
      <w:tr w:rsidR="00473EF5" w:rsidRPr="00493D72" w14:paraId="57921B86" w14:textId="77777777" w:rsidTr="00EA1937">
        <w:trPr>
          <w:trHeight w:val="567"/>
        </w:trPr>
        <w:tc>
          <w:tcPr>
            <w:tcW w:w="2371" w:type="dxa"/>
            <w:shd w:val="clear" w:color="auto" w:fill="FFFFCC"/>
            <w:noWrap/>
            <w:vAlign w:val="center"/>
            <w:hideMark/>
          </w:tcPr>
          <w:p w14:paraId="257E7DAF"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11.1. Quality assurance </w:t>
            </w:r>
          </w:p>
        </w:tc>
        <w:tc>
          <w:tcPr>
            <w:tcW w:w="8311" w:type="dxa"/>
            <w:shd w:val="clear" w:color="auto" w:fill="auto"/>
            <w:vAlign w:val="center"/>
          </w:tcPr>
          <w:p w14:paraId="00A8675D" w14:textId="77777777" w:rsidR="00473EF5" w:rsidRPr="00DB35D6" w:rsidRDefault="00960526" w:rsidP="00912E40">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DB35D6">
              <w:rPr>
                <w:rFonts w:ascii="Times New Roman" w:eastAsia="Times New Roman" w:hAnsi="Times New Roman" w:cs="Times New Roman"/>
                <w:noProof/>
                <w:color w:val="000000"/>
                <w:sz w:val="24"/>
                <w:szCs w:val="24"/>
                <w:lang w:val="sq-AL" w:eastAsia="sq-AL"/>
              </w:rPr>
              <w:t>INSTAT is committed to ensure the highest quality with respect to the compilation of statistical information. In accordance with the Statistics Law, INSTAT use statistical methods and processes in compliance with internationally recognized scientific principles and standards conduct ongoing analyses of the statistics with a view to quality improvements and ensure that statistics are as up to-date. In performing its tasks it follows the general principles of quality management from the European Statistics Code of Practice. INSTAT declares that it takes into account the following principles: impartiality, quality of processes and products, user orientation, employee orientation, effectiveness of statistical processes, reducin</w:t>
            </w:r>
            <w:r w:rsidR="00912E40">
              <w:rPr>
                <w:rFonts w:ascii="Times New Roman" w:eastAsia="Times New Roman" w:hAnsi="Times New Roman" w:cs="Times New Roman"/>
                <w:noProof/>
                <w:color w:val="000000"/>
                <w:sz w:val="24"/>
                <w:szCs w:val="24"/>
                <w:lang w:val="sq-AL" w:eastAsia="sq-AL"/>
              </w:rPr>
              <w:t>g the workload for respondents.</w:t>
            </w:r>
          </w:p>
        </w:tc>
      </w:tr>
      <w:tr w:rsidR="00473EF5" w:rsidRPr="00493D72" w14:paraId="55365576" w14:textId="77777777" w:rsidTr="00EA1937">
        <w:trPr>
          <w:trHeight w:val="567"/>
        </w:trPr>
        <w:tc>
          <w:tcPr>
            <w:tcW w:w="2371" w:type="dxa"/>
            <w:shd w:val="clear" w:color="auto" w:fill="FFFFCC"/>
            <w:noWrap/>
            <w:vAlign w:val="center"/>
            <w:hideMark/>
          </w:tcPr>
          <w:p w14:paraId="1B36BB20"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11.2. Quality assessments</w:t>
            </w:r>
          </w:p>
        </w:tc>
        <w:tc>
          <w:tcPr>
            <w:tcW w:w="8311"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2"/>
              <w:gridCol w:w="5841"/>
            </w:tblGrid>
            <w:tr w:rsidR="009E1A83" w:rsidRPr="00960526" w14:paraId="117919FC" w14:textId="77777777" w:rsidTr="001671B8">
              <w:tc>
                <w:tcPr>
                  <w:tcW w:w="0" w:type="auto"/>
                  <w:vAlign w:val="center"/>
                  <w:hideMark/>
                </w:tcPr>
                <w:p w14:paraId="1DB57898" w14:textId="77777777" w:rsidR="009E1A83" w:rsidRPr="00960526" w:rsidRDefault="009E1A83" w:rsidP="001671B8">
                  <w:pPr>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11.2.1 Main strengths</w:t>
                  </w:r>
                </w:p>
              </w:tc>
              <w:tc>
                <w:tcPr>
                  <w:tcW w:w="0" w:type="auto"/>
                  <w:hideMark/>
                </w:tcPr>
                <w:p w14:paraId="55E01B03" w14:textId="77777777" w:rsidR="009E1A83" w:rsidRPr="00960526" w:rsidRDefault="00E82111" w:rsidP="003A44F9">
                  <w:pPr>
                    <w:spacing w:before="30" w:after="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9E1A83" w:rsidRPr="00960526">
                    <w:rPr>
                      <w:rFonts w:ascii="Times New Roman" w:eastAsia="Times New Roman" w:hAnsi="Times New Roman" w:cs="Times New Roman"/>
                      <w:color w:val="000000"/>
                      <w:sz w:val="24"/>
                      <w:szCs w:val="24"/>
                    </w:rPr>
                    <w:t xml:space="preserve">ll the requirements of the Regulation are taken in </w:t>
                  </w:r>
                  <w:r w:rsidR="00F34A7A">
                    <w:rPr>
                      <w:rFonts w:ascii="Times New Roman" w:eastAsia="Times New Roman" w:hAnsi="Times New Roman" w:cs="Times New Roman"/>
                      <w:color w:val="000000"/>
                      <w:sz w:val="24"/>
                      <w:szCs w:val="24"/>
                    </w:rPr>
                    <w:t>to consideration</w:t>
                  </w:r>
                  <w:r w:rsidR="009E1A83" w:rsidRPr="00960526">
                    <w:rPr>
                      <w:rFonts w:ascii="Times New Roman" w:eastAsia="Times New Roman" w:hAnsi="Times New Roman" w:cs="Times New Roman"/>
                      <w:color w:val="000000"/>
                      <w:sz w:val="24"/>
                      <w:szCs w:val="24"/>
                    </w:rPr>
                    <w:t xml:space="preserve">, response rate is under control, data and metadata </w:t>
                  </w:r>
                  <w:r w:rsidR="003A44F9">
                    <w:rPr>
                      <w:rFonts w:ascii="Times New Roman" w:eastAsia="Times New Roman" w:hAnsi="Times New Roman" w:cs="Times New Roman"/>
                      <w:color w:val="000000"/>
                      <w:sz w:val="24"/>
                      <w:szCs w:val="24"/>
                    </w:rPr>
                    <w:t>are</w:t>
                  </w:r>
                  <w:r w:rsidR="009E1A83" w:rsidRPr="00960526">
                    <w:rPr>
                      <w:rFonts w:ascii="Times New Roman" w:eastAsia="Times New Roman" w:hAnsi="Times New Roman" w:cs="Times New Roman"/>
                      <w:color w:val="000000"/>
                      <w:sz w:val="24"/>
                      <w:szCs w:val="24"/>
                    </w:rPr>
                    <w:t xml:space="preserve"> easily accessible to users etc.</w:t>
                  </w:r>
                </w:p>
              </w:tc>
            </w:tr>
            <w:tr w:rsidR="00556DF9" w:rsidRPr="00960526" w14:paraId="2487314D" w14:textId="77777777" w:rsidTr="00556DF9">
              <w:tc>
                <w:tcPr>
                  <w:tcW w:w="0" w:type="auto"/>
                  <w:vAlign w:val="center"/>
                  <w:hideMark/>
                </w:tcPr>
                <w:p w14:paraId="6DE68E7E" w14:textId="77777777" w:rsidR="00556DF9" w:rsidRPr="00960526" w:rsidRDefault="00556DF9" w:rsidP="001671B8">
                  <w:pPr>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 xml:space="preserve">11.2.2 Main </w:t>
                  </w:r>
                  <w:r w:rsidRPr="00960526">
                    <w:rPr>
                      <w:rFonts w:ascii="Times New Roman" w:eastAsia="Times New Roman" w:hAnsi="Times New Roman" w:cs="Times New Roman"/>
                      <w:color w:val="000000"/>
                      <w:sz w:val="24"/>
                      <w:szCs w:val="24"/>
                    </w:rPr>
                    <w:lastRenderedPageBreak/>
                    <w:t>weaknesses</w:t>
                  </w:r>
                </w:p>
              </w:tc>
              <w:tc>
                <w:tcPr>
                  <w:tcW w:w="0" w:type="auto"/>
                </w:tcPr>
                <w:p w14:paraId="40F56F96" w14:textId="77777777" w:rsidR="00556DF9" w:rsidRPr="00BE20D9" w:rsidRDefault="00556DF9" w:rsidP="00556DF9">
                  <w:pPr>
                    <w:spacing w:before="30" w:after="30"/>
                    <w:jc w:val="both"/>
                    <w:rPr>
                      <w:rFonts w:ascii="Times New Roman" w:eastAsia="Times New Roman" w:hAnsi="Times New Roman" w:cs="Times New Roman"/>
                      <w:color w:val="000000"/>
                      <w:sz w:val="24"/>
                      <w:szCs w:val="24"/>
                      <w:lang w:val="sq-AL"/>
                    </w:rPr>
                  </w:pPr>
                  <w:r w:rsidRPr="00BE20D9">
                    <w:rPr>
                      <w:rFonts w:ascii="Times New Roman" w:eastAsia="Times New Roman" w:hAnsi="Times New Roman" w:cs="Times New Roman"/>
                      <w:color w:val="000000"/>
                      <w:sz w:val="24"/>
                      <w:szCs w:val="24"/>
                      <w:lang w:val="sq-AL"/>
                    </w:rPr>
                    <w:lastRenderedPageBreak/>
                    <w:t xml:space="preserve">One of the main quality limitations in these monthly </w:t>
                  </w:r>
                  <w:r w:rsidRPr="00BE20D9">
                    <w:rPr>
                      <w:rFonts w:ascii="Times New Roman" w:eastAsia="Times New Roman" w:hAnsi="Times New Roman" w:cs="Times New Roman"/>
                      <w:color w:val="000000"/>
                      <w:sz w:val="24"/>
                      <w:szCs w:val="24"/>
                      <w:lang w:val="sq-AL"/>
                    </w:rPr>
                    <w:lastRenderedPageBreak/>
                    <w:t>surveys is related to the fact that INSTAT’s sampling team had to rely on employment as a ‘proxy’ of capacity of the tourism accommodation establishments, instead of  the number of bed places, which is not available in the Statistical Business Register. The fact that INSTAT does not possess complete information on capacity of all the establishments in the sampling frame, also does not allow it to exclude units which are opt</w:t>
                  </w:r>
                  <w:r>
                    <w:rPr>
                      <w:rFonts w:ascii="Times New Roman" w:eastAsia="Times New Roman" w:hAnsi="Times New Roman" w:cs="Times New Roman"/>
                      <w:color w:val="000000"/>
                      <w:sz w:val="24"/>
                      <w:szCs w:val="24"/>
                      <w:lang w:val="sq-AL"/>
                    </w:rPr>
                    <w:t>ional to the Regulation. C</w:t>
                  </w:r>
                  <w:r w:rsidRPr="00BE20D9">
                    <w:rPr>
                      <w:rFonts w:ascii="Times New Roman" w:eastAsia="Times New Roman" w:hAnsi="Times New Roman" w:cs="Times New Roman"/>
                      <w:color w:val="000000"/>
                      <w:sz w:val="24"/>
                      <w:szCs w:val="24"/>
                      <w:lang w:val="sq-AL"/>
                    </w:rPr>
                    <w:t xml:space="preserve">onsiderable number of units which were selected in the initial sample turned out to be ineligible. </w:t>
                  </w:r>
                </w:p>
                <w:p w14:paraId="22C6920E" w14:textId="77777777" w:rsidR="00556DF9" w:rsidRPr="00BE20D9" w:rsidRDefault="00556DF9" w:rsidP="00556DF9">
                  <w:pPr>
                    <w:spacing w:before="30" w:after="30"/>
                    <w:jc w:val="both"/>
                    <w:rPr>
                      <w:rFonts w:ascii="Times New Roman" w:eastAsia="Times New Roman" w:hAnsi="Times New Roman" w:cs="Times New Roman"/>
                      <w:color w:val="000000"/>
                      <w:sz w:val="24"/>
                      <w:szCs w:val="24"/>
                      <w:lang w:val="sq-AL"/>
                    </w:rPr>
                  </w:pPr>
                  <w:r w:rsidRPr="00BE20D9">
                    <w:rPr>
                      <w:rFonts w:ascii="Times New Roman" w:eastAsia="Times New Roman" w:hAnsi="Times New Roman" w:cs="Times New Roman"/>
                      <w:color w:val="000000"/>
                      <w:sz w:val="24"/>
                      <w:szCs w:val="24"/>
                      <w:lang w:val="sq-AL"/>
                    </w:rPr>
                    <w:t>We say ineligible because these units on the field resulted to exercise different activity other than the one of accommodation (out of scope units); were closed; it was impossible to find the unit from the address in the Statistical Business Register (no contact units). During data analysis</w:t>
                  </w:r>
                  <w:r w:rsidR="00E82111">
                    <w:rPr>
                      <w:rFonts w:ascii="Times New Roman" w:eastAsia="Times New Roman" w:hAnsi="Times New Roman" w:cs="Times New Roman"/>
                      <w:color w:val="000000"/>
                      <w:sz w:val="24"/>
                      <w:szCs w:val="24"/>
                      <w:lang w:val="sq-AL"/>
                    </w:rPr>
                    <w:t>,</w:t>
                  </w:r>
                  <w:r w:rsidRPr="00BE20D9">
                    <w:rPr>
                      <w:rFonts w:ascii="Times New Roman" w:eastAsia="Times New Roman" w:hAnsi="Times New Roman" w:cs="Times New Roman"/>
                      <w:color w:val="000000"/>
                      <w:sz w:val="24"/>
                      <w:szCs w:val="24"/>
                      <w:lang w:val="sq-AL"/>
                    </w:rPr>
                    <w:t xml:space="preserve"> ineligible units are treated as follows:</w:t>
                  </w:r>
                </w:p>
                <w:p w14:paraId="36DDDE48" w14:textId="77777777" w:rsidR="00556DF9" w:rsidRPr="00BE20D9" w:rsidRDefault="00556DF9" w:rsidP="00556DF9">
                  <w:pPr>
                    <w:numPr>
                      <w:ilvl w:val="0"/>
                      <w:numId w:val="1"/>
                    </w:numPr>
                    <w:jc w:val="both"/>
                    <w:rPr>
                      <w:rFonts w:ascii="Times New Roman" w:eastAsia="Times New Roman" w:hAnsi="Times New Roman" w:cs="Times New Roman"/>
                      <w:color w:val="000000"/>
                      <w:sz w:val="24"/>
                      <w:szCs w:val="24"/>
                      <w:lang w:val="sq-AL"/>
                    </w:rPr>
                  </w:pPr>
                  <w:r w:rsidRPr="00BE20D9">
                    <w:rPr>
                      <w:rFonts w:ascii="Times New Roman" w:eastAsia="Times New Roman" w:hAnsi="Times New Roman" w:cs="Times New Roman"/>
                      <w:color w:val="000000"/>
                      <w:sz w:val="24"/>
                      <w:szCs w:val="24"/>
                      <w:lang w:val="sq-AL"/>
                    </w:rPr>
                    <w:t>no contact units are treated as refusals (imputed</w:t>
                  </w:r>
                  <w:r>
                    <w:rPr>
                      <w:rFonts w:ascii="Times New Roman" w:eastAsia="Times New Roman" w:hAnsi="Times New Roman" w:cs="Times New Roman"/>
                      <w:color w:val="000000"/>
                      <w:sz w:val="24"/>
                      <w:szCs w:val="24"/>
                      <w:lang w:val="sq-AL"/>
                    </w:rPr>
                    <w:t xml:space="preserve"> and weight compensated</w:t>
                  </w:r>
                  <w:r w:rsidRPr="00BE20D9">
                    <w:rPr>
                      <w:rFonts w:ascii="Times New Roman" w:eastAsia="Times New Roman" w:hAnsi="Times New Roman" w:cs="Times New Roman"/>
                      <w:color w:val="000000"/>
                      <w:sz w:val="24"/>
                      <w:szCs w:val="24"/>
                      <w:lang w:val="sq-AL"/>
                    </w:rPr>
                    <w:t>);</w:t>
                  </w:r>
                </w:p>
                <w:p w14:paraId="78A536A9" w14:textId="77777777" w:rsidR="00556DF9" w:rsidRPr="00BE20D9" w:rsidRDefault="00556DF9" w:rsidP="00556DF9">
                  <w:pPr>
                    <w:numPr>
                      <w:ilvl w:val="0"/>
                      <w:numId w:val="1"/>
                    </w:numPr>
                    <w:jc w:val="both"/>
                    <w:rPr>
                      <w:rFonts w:ascii="Times New Roman" w:eastAsia="Times New Roman" w:hAnsi="Times New Roman" w:cs="Times New Roman"/>
                      <w:color w:val="000000"/>
                      <w:sz w:val="24"/>
                      <w:szCs w:val="24"/>
                      <w:lang w:val="sq-AL"/>
                    </w:rPr>
                  </w:pPr>
                  <w:r w:rsidRPr="00BE20D9">
                    <w:rPr>
                      <w:rFonts w:ascii="Times New Roman" w:eastAsia="Times New Roman" w:hAnsi="Times New Roman" w:cs="Times New Roman"/>
                      <w:color w:val="000000"/>
                      <w:sz w:val="24"/>
                      <w:szCs w:val="24"/>
                      <w:lang w:val="sq-AL"/>
                    </w:rPr>
                    <w:t xml:space="preserve">out of scope and closed units are excluded (deleted) both from the </w:t>
                  </w:r>
                  <w:r w:rsidR="00E82111">
                    <w:rPr>
                      <w:rFonts w:ascii="Times New Roman" w:eastAsia="Times New Roman" w:hAnsi="Times New Roman" w:cs="Times New Roman"/>
                      <w:color w:val="000000"/>
                      <w:sz w:val="24"/>
                      <w:szCs w:val="24"/>
                      <w:lang w:val="sq-AL"/>
                    </w:rPr>
                    <w:t>frame</w:t>
                  </w:r>
                  <w:r w:rsidRPr="00BE20D9">
                    <w:rPr>
                      <w:rFonts w:ascii="Times New Roman" w:eastAsia="Times New Roman" w:hAnsi="Times New Roman" w:cs="Times New Roman"/>
                      <w:color w:val="000000"/>
                      <w:sz w:val="24"/>
                      <w:szCs w:val="24"/>
                      <w:lang w:val="sq-AL"/>
                    </w:rPr>
                    <w:t xml:space="preserve"> and from the sample frame;</w:t>
                  </w:r>
                </w:p>
                <w:p w14:paraId="752EEEAC" w14:textId="77777777" w:rsidR="00556DF9" w:rsidRPr="00BE20D9" w:rsidRDefault="005E26C7" w:rsidP="00556DF9">
                  <w:pPr>
                    <w:jc w:val="both"/>
                    <w:rPr>
                      <w:rFonts w:ascii="Times New Roman" w:eastAsia="Times New Roman" w:hAnsi="Times New Roman" w:cs="Times New Roman"/>
                      <w:color w:val="000000"/>
                      <w:sz w:val="24"/>
                      <w:szCs w:val="24"/>
                      <w:lang w:val="sq-AL"/>
                    </w:rPr>
                  </w:pPr>
                  <w:r w:rsidRPr="005E26C7">
                    <w:rPr>
                      <w:rFonts w:ascii="Times New Roman" w:eastAsia="Times New Roman" w:hAnsi="Times New Roman" w:cs="Times New Roman"/>
                      <w:color w:val="000000"/>
                      <w:sz w:val="24"/>
                      <w:szCs w:val="24"/>
                      <w:lang w:val="sq-AL"/>
                    </w:rPr>
                    <w:t>It turns out that this problem is present in small enterprises.</w:t>
                  </w:r>
                </w:p>
              </w:tc>
            </w:tr>
            <w:tr w:rsidR="00556DF9" w:rsidRPr="00960526" w14:paraId="7241B641" w14:textId="77777777" w:rsidTr="00556DF9">
              <w:tc>
                <w:tcPr>
                  <w:tcW w:w="0" w:type="auto"/>
                  <w:hideMark/>
                </w:tcPr>
                <w:p w14:paraId="717B1157" w14:textId="77777777" w:rsidR="00556DF9" w:rsidRPr="00960526" w:rsidRDefault="00556DF9" w:rsidP="009E1A83">
                  <w:pPr>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lastRenderedPageBreak/>
                    <w:t>11.2.3 Quality improvements compared with previous reference year</w:t>
                  </w:r>
                </w:p>
              </w:tc>
              <w:tc>
                <w:tcPr>
                  <w:tcW w:w="0" w:type="auto"/>
                </w:tcPr>
                <w:p w14:paraId="1955238E" w14:textId="77777777" w:rsidR="00556DF9" w:rsidRPr="00BE20D9" w:rsidRDefault="00556DF9" w:rsidP="00556DF9">
                  <w:pPr>
                    <w:jc w:val="both"/>
                    <w:rPr>
                      <w:rFonts w:ascii="Times New Roman" w:eastAsia="Times New Roman" w:hAnsi="Times New Roman" w:cs="Times New Roman"/>
                      <w:color w:val="000000"/>
                      <w:sz w:val="24"/>
                      <w:szCs w:val="24"/>
                      <w:lang w:val="sq-AL"/>
                    </w:rPr>
                  </w:pPr>
                </w:p>
              </w:tc>
            </w:tr>
          </w:tbl>
          <w:p w14:paraId="5DF9DA3E" w14:textId="77777777" w:rsidR="00473EF5" w:rsidRPr="00DB35D6" w:rsidRDefault="00473EF5" w:rsidP="00BA7648">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p>
        </w:tc>
      </w:tr>
      <w:tr w:rsidR="00735EC3" w:rsidRPr="00493D72" w14:paraId="70570E34" w14:textId="77777777" w:rsidTr="00493D72">
        <w:trPr>
          <w:trHeight w:val="567"/>
        </w:trPr>
        <w:tc>
          <w:tcPr>
            <w:tcW w:w="0" w:type="auto"/>
            <w:gridSpan w:val="2"/>
            <w:shd w:val="clear" w:color="auto" w:fill="FBD4B4" w:themeFill="accent6" w:themeFillTint="66"/>
            <w:noWrap/>
            <w:vAlign w:val="center"/>
            <w:hideMark/>
          </w:tcPr>
          <w:p w14:paraId="20798103" w14:textId="77777777" w:rsidR="00735EC3" w:rsidRPr="00DB35D6" w:rsidRDefault="00735EC3"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69202499"/>
            <w:r w:rsidRPr="00DB35D6">
              <w:rPr>
                <w:rFonts w:ascii="Times New Roman" w:eastAsia="Times New Roman" w:hAnsi="Times New Roman" w:cs="Times New Roman"/>
                <w:noProof/>
                <w:color w:val="000000" w:themeColor="text1"/>
                <w:sz w:val="24"/>
                <w:szCs w:val="24"/>
                <w:lang w:val="sq-AL" w:eastAsia="sq-AL"/>
              </w:rPr>
              <w:lastRenderedPageBreak/>
              <w:t>12. R</w:t>
            </w:r>
            <w:r w:rsidR="00286BF7" w:rsidRPr="00DB35D6">
              <w:rPr>
                <w:rFonts w:ascii="Times New Roman" w:eastAsia="Times New Roman" w:hAnsi="Times New Roman" w:cs="Times New Roman"/>
                <w:noProof/>
                <w:color w:val="000000" w:themeColor="text1"/>
                <w:sz w:val="24"/>
                <w:szCs w:val="24"/>
                <w:lang w:val="sq-AL" w:eastAsia="sq-AL"/>
              </w:rPr>
              <w:t>elevance</w:t>
            </w:r>
            <w:bookmarkEnd w:id="11"/>
          </w:p>
        </w:tc>
      </w:tr>
      <w:tr w:rsidR="00473EF5" w:rsidRPr="00493D72" w14:paraId="5F9C9B1E" w14:textId="77777777" w:rsidTr="00EA1937">
        <w:trPr>
          <w:trHeight w:val="567"/>
        </w:trPr>
        <w:tc>
          <w:tcPr>
            <w:tcW w:w="2371" w:type="dxa"/>
            <w:shd w:val="clear" w:color="auto" w:fill="FFFFCC"/>
            <w:noWrap/>
            <w:vAlign w:val="center"/>
            <w:hideMark/>
          </w:tcPr>
          <w:p w14:paraId="56C8D0FB"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12.1. User needs</w:t>
            </w:r>
          </w:p>
        </w:tc>
        <w:tc>
          <w:tcPr>
            <w:tcW w:w="8311" w:type="dxa"/>
            <w:shd w:val="clear" w:color="auto" w:fill="auto"/>
            <w:vAlign w:val="center"/>
          </w:tcPr>
          <w:p w14:paraId="71062331" w14:textId="77777777" w:rsidR="009E1A83" w:rsidRPr="00DB35D6" w:rsidRDefault="009E1A83" w:rsidP="009E1A83">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DB35D6">
              <w:rPr>
                <w:rFonts w:ascii="Times New Roman" w:eastAsia="Times New Roman" w:hAnsi="Times New Roman" w:cs="Times New Roman"/>
                <w:noProof/>
                <w:color w:val="000000"/>
                <w:sz w:val="24"/>
                <w:szCs w:val="24"/>
                <w:lang w:val="sq-AL" w:eastAsia="sq-AL"/>
              </w:rPr>
              <w:t>12.1.1 European level</w:t>
            </w:r>
          </w:p>
          <w:p w14:paraId="1381123A" w14:textId="77777777" w:rsidR="00622CE2" w:rsidRPr="00DB35D6" w:rsidRDefault="009E1A83" w:rsidP="00622CE2">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DB35D6">
              <w:rPr>
                <w:rFonts w:ascii="Times New Roman" w:eastAsia="Times New Roman" w:hAnsi="Times New Roman" w:cs="Times New Roman"/>
                <w:noProof/>
                <w:color w:val="000000"/>
                <w:sz w:val="24"/>
                <w:szCs w:val="24"/>
                <w:lang w:val="sq-AL" w:eastAsia="sq-AL"/>
              </w:rPr>
              <w:t xml:space="preserve">See: </w:t>
            </w:r>
            <w:hyperlink r:id="rId28" w:history="1">
              <w:r w:rsidRPr="00D15D97">
                <w:rPr>
                  <w:rStyle w:val="Hyperlink"/>
                  <w:rFonts w:ascii="Times New Roman" w:eastAsia="Times New Roman" w:hAnsi="Times New Roman" w:cs="Times New Roman"/>
                  <w:noProof/>
                  <w:sz w:val="24"/>
                  <w:szCs w:val="24"/>
                  <w:lang w:val="sq-AL" w:eastAsia="sq-AL"/>
                </w:rPr>
                <w:t>Regulation 692/2011</w:t>
              </w:r>
            </w:hyperlink>
          </w:p>
          <w:p w14:paraId="59A5059F" w14:textId="77777777" w:rsidR="009E1A83" w:rsidRPr="00DB35D6" w:rsidRDefault="009E1A83" w:rsidP="009E1A83">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DB35D6">
              <w:rPr>
                <w:rFonts w:ascii="Times New Roman" w:eastAsia="Times New Roman" w:hAnsi="Times New Roman" w:cs="Times New Roman"/>
                <w:noProof/>
                <w:color w:val="000000"/>
                <w:sz w:val="24"/>
                <w:szCs w:val="24"/>
                <w:lang w:val="sq-AL" w:eastAsia="sq-AL"/>
              </w:rPr>
              <w:t>12.1.2 Main users on a national level</w:t>
            </w:r>
          </w:p>
          <w:p w14:paraId="2AD59AB3" w14:textId="77777777" w:rsidR="00473EF5" w:rsidRPr="00DB35D6" w:rsidRDefault="009E1A83" w:rsidP="00D15D97">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DB35D6">
              <w:rPr>
                <w:rFonts w:ascii="Times New Roman" w:eastAsia="Times New Roman" w:hAnsi="Times New Roman" w:cs="Times New Roman"/>
                <w:noProof/>
                <w:color w:val="000000"/>
                <w:sz w:val="24"/>
                <w:szCs w:val="24"/>
                <w:lang w:val="sq-AL" w:eastAsia="sq-AL"/>
              </w:rPr>
              <w:t>Key users are national authorities, p</w:t>
            </w:r>
            <w:r w:rsidR="00D15D97">
              <w:rPr>
                <w:rFonts w:ascii="Times New Roman" w:eastAsia="Times New Roman" w:hAnsi="Times New Roman" w:cs="Times New Roman"/>
                <w:noProof/>
                <w:color w:val="000000"/>
                <w:sz w:val="24"/>
                <w:szCs w:val="24"/>
                <w:lang w:val="sq-AL" w:eastAsia="sq-AL"/>
              </w:rPr>
              <w:t xml:space="preserve">ublic institutions and agencies, </w:t>
            </w:r>
            <w:r w:rsidRPr="00DB35D6">
              <w:rPr>
                <w:rFonts w:ascii="Times New Roman" w:eastAsia="Times New Roman" w:hAnsi="Times New Roman" w:cs="Times New Roman"/>
                <w:noProof/>
                <w:color w:val="000000"/>
                <w:sz w:val="24"/>
                <w:szCs w:val="24"/>
                <w:lang w:val="sq-AL" w:eastAsia="sq-AL"/>
              </w:rPr>
              <w:t xml:space="preserve">the media, research and business entities, universities, students, international users (Eurostat, </w:t>
            </w:r>
            <w:r>
              <w:rPr>
                <w:rFonts w:ascii="Times New Roman" w:eastAsia="Times New Roman" w:hAnsi="Times New Roman" w:cs="Times New Roman"/>
                <w:noProof/>
                <w:color w:val="000000"/>
                <w:sz w:val="24"/>
                <w:szCs w:val="24"/>
                <w:lang w:val="sq-AL" w:eastAsia="sq-AL"/>
              </w:rPr>
              <w:t>UN</w:t>
            </w:r>
            <w:r w:rsidRPr="00DB35D6">
              <w:rPr>
                <w:rFonts w:ascii="Times New Roman" w:eastAsia="Times New Roman" w:hAnsi="Times New Roman" w:cs="Times New Roman"/>
                <w:noProof/>
                <w:color w:val="000000"/>
                <w:sz w:val="24"/>
                <w:szCs w:val="24"/>
                <w:lang w:val="sq-AL" w:eastAsia="sq-AL"/>
              </w:rPr>
              <w:t>WTO, OECD). Representatives of the main users of statistical data are members of Statistical Council. The major role of the Council is to meet the needs of the widest range of users.</w:t>
            </w:r>
          </w:p>
        </w:tc>
      </w:tr>
      <w:tr w:rsidR="00617106" w:rsidRPr="00493D72" w14:paraId="446C1BCC" w14:textId="77777777" w:rsidTr="00EA1937">
        <w:trPr>
          <w:trHeight w:val="562"/>
        </w:trPr>
        <w:tc>
          <w:tcPr>
            <w:tcW w:w="2371" w:type="dxa"/>
            <w:shd w:val="clear" w:color="auto" w:fill="FFFFCC"/>
            <w:noWrap/>
            <w:vAlign w:val="center"/>
            <w:hideMark/>
          </w:tcPr>
          <w:p w14:paraId="15F7C2CA" w14:textId="77777777" w:rsidR="00F32733" w:rsidRPr="00493D72" w:rsidRDefault="00F32733"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12.2. </w:t>
            </w:r>
            <w:r w:rsidR="00286BF7" w:rsidRPr="00493D72">
              <w:rPr>
                <w:rFonts w:ascii="Times New Roman" w:eastAsia="Times New Roman" w:hAnsi="Times New Roman" w:cs="Times New Roman"/>
                <w:noProof/>
                <w:color w:val="000000"/>
                <w:sz w:val="24"/>
                <w:szCs w:val="24"/>
                <w:lang w:val="sq-AL" w:eastAsia="sq-AL"/>
              </w:rPr>
              <w:t>User satisfaction</w:t>
            </w:r>
          </w:p>
        </w:tc>
        <w:tc>
          <w:tcPr>
            <w:tcW w:w="8311" w:type="dxa"/>
            <w:shd w:val="clear" w:color="auto" w:fill="auto"/>
            <w:noWrap/>
            <w:vAlign w:val="center"/>
            <w:hideMark/>
          </w:tcPr>
          <w:p w14:paraId="5CF880A5" w14:textId="58E55E5E" w:rsidR="00E949A5" w:rsidRPr="00F96DBA" w:rsidRDefault="009E7C90" w:rsidP="00F96DBA">
            <w:pPr>
              <w:spacing w:before="120" w:after="120" w:line="240" w:lineRule="auto"/>
              <w:ind w:left="101" w:right="86"/>
              <w:jc w:val="both"/>
              <w:rPr>
                <w:rFonts w:ascii="Times New Roman" w:hAnsi="Times New Roman" w:cs="Times New Roman"/>
                <w:sz w:val="24"/>
                <w:szCs w:val="24"/>
                <w:highlight w:val="yellow"/>
              </w:rPr>
            </w:pPr>
            <w:r w:rsidRPr="00671850">
              <w:rPr>
                <w:rFonts w:ascii="Times New Roman" w:hAnsi="Times New Roman" w:cs="Times New Roman"/>
                <w:sz w:val="24"/>
                <w:szCs w:val="24"/>
              </w:rPr>
              <w:t>The results of the User satisfaction survey for 20</w:t>
            </w:r>
            <w:r>
              <w:rPr>
                <w:rFonts w:ascii="Times New Roman" w:hAnsi="Times New Roman" w:cs="Times New Roman"/>
                <w:sz w:val="24"/>
                <w:szCs w:val="24"/>
              </w:rPr>
              <w:t>20</w:t>
            </w:r>
            <w:r w:rsidRPr="00671850">
              <w:rPr>
                <w:rFonts w:ascii="Times New Roman" w:hAnsi="Times New Roman" w:cs="Times New Roman"/>
                <w:sz w:val="24"/>
                <w:szCs w:val="24"/>
              </w:rPr>
              <w:t xml:space="preserve"> shows that the quality of overall data provided by INSTAT was rated 3.</w:t>
            </w:r>
            <w:r>
              <w:rPr>
                <w:rFonts w:ascii="Times New Roman" w:hAnsi="Times New Roman" w:cs="Times New Roman"/>
                <w:sz w:val="24"/>
                <w:szCs w:val="24"/>
              </w:rPr>
              <w:t>87</w:t>
            </w:r>
            <w:r w:rsidRPr="00671850">
              <w:rPr>
                <w:rFonts w:ascii="Times New Roman" w:hAnsi="Times New Roman" w:cs="Times New Roman"/>
                <w:sz w:val="24"/>
                <w:szCs w:val="24"/>
              </w:rPr>
              <w:t xml:space="preserve"> (7</w:t>
            </w:r>
            <w:r>
              <w:rPr>
                <w:rFonts w:ascii="Times New Roman" w:hAnsi="Times New Roman" w:cs="Times New Roman"/>
                <w:sz w:val="24"/>
                <w:szCs w:val="24"/>
              </w:rPr>
              <w:t>7.3</w:t>
            </w:r>
            <w:r w:rsidRPr="00671850">
              <w:rPr>
                <w:rFonts w:ascii="Times New Roman" w:hAnsi="Times New Roman" w:cs="Times New Roman"/>
                <w:sz w:val="24"/>
                <w:szCs w:val="24"/>
              </w:rPr>
              <w:t xml:space="preserve">%) on a scale of 1 (very poor) to 5 (very good). For “Accommodation Establishments Survey” </w:t>
            </w:r>
            <w:r>
              <w:rPr>
                <w:rFonts w:ascii="Times New Roman" w:hAnsi="Times New Roman" w:cs="Times New Roman"/>
                <w:sz w:val="24"/>
                <w:szCs w:val="24"/>
              </w:rPr>
              <w:t>it was</w:t>
            </w:r>
            <w:r w:rsidRPr="00671850">
              <w:rPr>
                <w:rFonts w:ascii="Times New Roman" w:hAnsi="Times New Roman" w:cs="Times New Roman"/>
                <w:sz w:val="24"/>
                <w:szCs w:val="24"/>
              </w:rPr>
              <w:t xml:space="preserve"> not applicable</w:t>
            </w:r>
            <w:r>
              <w:rPr>
                <w:rFonts w:ascii="Times New Roman" w:hAnsi="Times New Roman" w:cs="Times New Roman"/>
                <w:sz w:val="24"/>
                <w:szCs w:val="24"/>
              </w:rPr>
              <w:t xml:space="preserve"> during 2020</w:t>
            </w:r>
            <w:r w:rsidRPr="00671850">
              <w:rPr>
                <w:rFonts w:ascii="Times New Roman" w:hAnsi="Times New Roman" w:cs="Times New Roman"/>
                <w:sz w:val="24"/>
                <w:szCs w:val="24"/>
              </w:rPr>
              <w:t>.</w:t>
            </w:r>
          </w:p>
        </w:tc>
      </w:tr>
      <w:tr w:rsidR="00B416EC" w:rsidRPr="00493D72" w14:paraId="28AC2231" w14:textId="77777777" w:rsidTr="00EA1937">
        <w:trPr>
          <w:trHeight w:val="562"/>
        </w:trPr>
        <w:tc>
          <w:tcPr>
            <w:tcW w:w="2371" w:type="dxa"/>
            <w:shd w:val="clear" w:color="auto" w:fill="FFFFCC"/>
            <w:noWrap/>
            <w:vAlign w:val="center"/>
            <w:hideMark/>
          </w:tcPr>
          <w:p w14:paraId="0273437F" w14:textId="77777777" w:rsidR="00F32733" w:rsidRPr="00493D72" w:rsidRDefault="00F32733"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12.3. </w:t>
            </w:r>
            <w:r w:rsidR="00286BF7" w:rsidRPr="00493D72">
              <w:rPr>
                <w:rFonts w:ascii="Times New Roman" w:eastAsia="Times New Roman" w:hAnsi="Times New Roman" w:cs="Times New Roman"/>
                <w:noProof/>
                <w:color w:val="000000"/>
                <w:sz w:val="24"/>
                <w:szCs w:val="24"/>
                <w:lang w:val="sq-AL" w:eastAsia="sq-AL"/>
              </w:rPr>
              <w:t>Completeness</w:t>
            </w:r>
          </w:p>
        </w:tc>
        <w:tc>
          <w:tcPr>
            <w:tcW w:w="8311" w:type="dxa"/>
            <w:shd w:val="clear" w:color="auto" w:fill="auto"/>
            <w:noWrap/>
            <w:vAlign w:val="center"/>
            <w:hideMark/>
          </w:tcPr>
          <w:p w14:paraId="1AF0FF35" w14:textId="77777777" w:rsidR="009E1A83" w:rsidRPr="00960526" w:rsidRDefault="009E1A83" w:rsidP="009E1A83">
            <w:pPr>
              <w:spacing w:before="30" w:after="30" w:line="240" w:lineRule="auto"/>
              <w:rPr>
                <w:rFonts w:ascii="Times New Roman" w:eastAsia="Times New Roman" w:hAnsi="Times New Roman" w:cs="Times New Roman"/>
                <w:color w:val="000000"/>
                <w:sz w:val="24"/>
                <w:szCs w:val="24"/>
              </w:rPr>
            </w:pPr>
            <w:r w:rsidRPr="00960526">
              <w:rPr>
                <w:rFonts w:ascii="Times New Roman" w:eastAsia="Times New Roman" w:hAnsi="Times New Roman" w:cs="Times New Roman"/>
                <w:b/>
                <w:bCs/>
                <w:color w:val="000000"/>
                <w:sz w:val="24"/>
                <w:szCs w:val="24"/>
              </w:rPr>
              <w:t>12.3.1 Completeness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45"/>
            </w:tblGrid>
            <w:tr w:rsidR="009E1A83" w:rsidRPr="00960526" w14:paraId="14119473" w14:textId="77777777" w:rsidTr="001174E6">
              <w:tc>
                <w:tcPr>
                  <w:tcW w:w="0" w:type="auto"/>
                  <w:vAlign w:val="center"/>
                  <w:hideMark/>
                </w:tcPr>
                <w:p w14:paraId="2A7B6435" w14:textId="77777777" w:rsidR="009E1A83" w:rsidRPr="00960526" w:rsidRDefault="009E1A83" w:rsidP="001174E6">
                  <w:pPr>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12.3.1.1 Completeness</w:t>
                  </w:r>
                </w:p>
              </w:tc>
              <w:tc>
                <w:tcPr>
                  <w:tcW w:w="0" w:type="auto"/>
                  <w:hideMark/>
                </w:tcPr>
                <w:p w14:paraId="5AC00877" w14:textId="77777777" w:rsidR="009E1A83" w:rsidRPr="00960526" w:rsidRDefault="00D15D97" w:rsidP="00CC3243">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Partially c</w:t>
                  </w:r>
                  <w:r w:rsidR="009E1A83" w:rsidRPr="00960526">
                    <w:rPr>
                      <w:rFonts w:ascii="Times New Roman" w:eastAsia="Times New Roman" w:hAnsi="Times New Roman" w:cs="Times New Roman"/>
                      <w:sz w:val="24"/>
                      <w:szCs w:val="24"/>
                    </w:rPr>
                    <w:t xml:space="preserve">ompliant with the requirements of Regulation on tourism statistics 692/2011 as well as recommendations laid down in the Methodological </w:t>
                  </w:r>
                  <w:r w:rsidR="009E1A83" w:rsidRPr="00960526">
                    <w:rPr>
                      <w:rFonts w:ascii="Times New Roman" w:eastAsia="Times New Roman" w:hAnsi="Times New Roman" w:cs="Times New Roman"/>
                      <w:sz w:val="24"/>
                      <w:szCs w:val="24"/>
                    </w:rPr>
                    <w:lastRenderedPageBreak/>
                    <w:t>Manual for tourism statistics.</w:t>
                  </w:r>
                </w:p>
              </w:tc>
            </w:tr>
            <w:tr w:rsidR="009E1A83" w:rsidRPr="00960526" w14:paraId="38A18648" w14:textId="77777777" w:rsidTr="001174E6">
              <w:tc>
                <w:tcPr>
                  <w:tcW w:w="0" w:type="auto"/>
                  <w:vAlign w:val="center"/>
                  <w:hideMark/>
                </w:tcPr>
                <w:p w14:paraId="0178C3BE" w14:textId="77777777" w:rsidR="009E1A83" w:rsidRPr="00960526" w:rsidRDefault="009E1A83" w:rsidP="001174E6">
                  <w:pPr>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lastRenderedPageBreak/>
                    <w:t>12.3.1.2 If not complete, please specify why and list deviations from Reg.</w:t>
                  </w:r>
                </w:p>
              </w:tc>
              <w:tc>
                <w:tcPr>
                  <w:tcW w:w="0" w:type="auto"/>
                  <w:hideMark/>
                </w:tcPr>
                <w:p w14:paraId="49BB7BFB" w14:textId="79778F12" w:rsidR="00D15D97" w:rsidRPr="00CC3243" w:rsidRDefault="00D15D97" w:rsidP="003B5A48">
                  <w:pPr>
                    <w:pStyle w:val="ListParagraph"/>
                    <w:numPr>
                      <w:ilvl w:val="0"/>
                      <w:numId w:val="34"/>
                    </w:numPr>
                    <w:jc w:val="both"/>
                  </w:pPr>
                  <w:r w:rsidRPr="00CC3243">
                    <w:t>The methodology used for data collection is not fully in line with the regulation.</w:t>
                  </w:r>
                  <w:r w:rsidR="003B5A48">
                    <w:t xml:space="preserve"> </w:t>
                  </w:r>
                  <w:r w:rsidRPr="00CC3243">
                    <w:t>The sample is designed using number of employees for stratification, as size class as well as an auxiliary variable on sample allocation phase of the tourist accommodation establishments, instead of number of bedplaces as the relevant regulation requires.</w:t>
                  </w:r>
                </w:p>
                <w:p w14:paraId="38901F0E" w14:textId="7AB89E65" w:rsidR="00D15D97" w:rsidRPr="00CC3243" w:rsidRDefault="00CC3243" w:rsidP="00CC3243">
                  <w:pPr>
                    <w:pStyle w:val="ListParagraph"/>
                    <w:numPr>
                      <w:ilvl w:val="0"/>
                      <w:numId w:val="34"/>
                    </w:numPr>
                    <w:jc w:val="both"/>
                  </w:pPr>
                  <w:r w:rsidRPr="00CC3243">
                    <w:t>Unavailability of a comparable DEGURBA classification</w:t>
                  </w:r>
                  <w:r w:rsidR="003B5A48">
                    <w:t>.</w:t>
                  </w:r>
                </w:p>
                <w:p w14:paraId="0C0431E2" w14:textId="77777777" w:rsidR="00D15D97" w:rsidRPr="00CC3243" w:rsidRDefault="00D15D97" w:rsidP="00CC3243">
                  <w:pPr>
                    <w:pStyle w:val="ListParagraph"/>
                    <w:numPr>
                      <w:ilvl w:val="0"/>
                      <w:numId w:val="34"/>
                    </w:numPr>
                    <w:jc w:val="both"/>
                  </w:pPr>
                  <w:r w:rsidRPr="00CC3243">
                    <w:t>Due to unavailability of the information on capacity of these establishments, it has not been possible to eliminate small units with less than 20 bed-places (or 20 pitches) from the target population, which are optional to the Regulation.</w:t>
                  </w:r>
                </w:p>
                <w:p w14:paraId="7AEB86DB" w14:textId="77777777" w:rsidR="009E1A83" w:rsidRPr="00CC3243" w:rsidRDefault="00D15D97" w:rsidP="00CC3243">
                  <w:pPr>
                    <w:pStyle w:val="ListParagraph"/>
                    <w:numPr>
                      <w:ilvl w:val="0"/>
                      <w:numId w:val="34"/>
                    </w:numPr>
                    <w:jc w:val="both"/>
                  </w:pPr>
                  <w:r w:rsidRPr="00CC3243">
                    <w:t xml:space="preserve">The data is not delivered on time, because of INSTAT publication periodicity. To achieve full compliance timeliness, </w:t>
                  </w:r>
                  <w:r w:rsidR="00CC3243" w:rsidRPr="00CC3243">
                    <w:t>periodicity needs</w:t>
                  </w:r>
                  <w:r w:rsidRPr="00CC3243">
                    <w:t xml:space="preserve"> to be changed in the national compilation.</w:t>
                  </w:r>
                </w:p>
              </w:tc>
            </w:tr>
          </w:tbl>
          <w:p w14:paraId="27A94269" w14:textId="77777777" w:rsidR="009E1A83" w:rsidRPr="00960526" w:rsidRDefault="009E1A83" w:rsidP="009E1A83">
            <w:pPr>
              <w:spacing w:before="100" w:beforeAutospacing="1" w:after="100" w:afterAutospacing="1" w:line="240" w:lineRule="auto"/>
              <w:rPr>
                <w:rFonts w:ascii="Times New Roman" w:eastAsia="Times New Roman" w:hAnsi="Times New Roman" w:cs="Times New Roman"/>
                <w:color w:val="000000"/>
                <w:sz w:val="24"/>
                <w:szCs w:val="24"/>
              </w:rPr>
            </w:pPr>
            <w:r w:rsidRPr="00DB35D6">
              <w:rPr>
                <w:rFonts w:ascii="Times New Roman" w:eastAsia="Times New Roman" w:hAnsi="Times New Roman" w:cs="Times New Roman"/>
                <w:b/>
                <w:bCs/>
                <w:color w:val="000000"/>
                <w:sz w:val="24"/>
                <w:szCs w:val="24"/>
              </w:rPr>
              <w:t>12.3.2 Thresholds used ("limitation of the scope")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630"/>
            </w:tblGrid>
            <w:tr w:rsidR="009E1A83" w:rsidRPr="00960526" w14:paraId="663EDC21" w14:textId="77777777" w:rsidTr="001174E6">
              <w:tc>
                <w:tcPr>
                  <w:tcW w:w="0" w:type="auto"/>
                  <w:vAlign w:val="center"/>
                  <w:hideMark/>
                </w:tcPr>
                <w:p w14:paraId="23659036" w14:textId="77777777" w:rsidR="009E1A83" w:rsidRPr="00960526" w:rsidRDefault="009E1A83" w:rsidP="001174E6">
                  <w:pPr>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12.3.2.1 Hotels and similar accommodation (NACE 55.1)</w:t>
                  </w:r>
                </w:p>
              </w:tc>
              <w:tc>
                <w:tcPr>
                  <w:tcW w:w="0" w:type="auto"/>
                  <w:hideMark/>
                </w:tcPr>
                <w:p w14:paraId="0A5A27D6" w14:textId="77777777" w:rsidR="009E1A83" w:rsidRPr="00960526" w:rsidRDefault="009E1A83" w:rsidP="009E1A83">
                  <w:pPr>
                    <w:spacing w:before="30" w:after="30"/>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 Census among units with 10 or more employees;</w:t>
                  </w:r>
                </w:p>
                <w:p w14:paraId="3FB6E368" w14:textId="77777777" w:rsidR="009E1A83" w:rsidRPr="00960526" w:rsidRDefault="009E1A83" w:rsidP="009E1A83">
                  <w:pPr>
                    <w:spacing w:before="30" w:after="30"/>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 xml:space="preserve">• A sample was taken from the remaining establishments, using stratification by size of enterprise and NACE.  </w:t>
                  </w:r>
                </w:p>
              </w:tc>
            </w:tr>
            <w:tr w:rsidR="009E1A83" w:rsidRPr="00960526" w14:paraId="53E2C7D9" w14:textId="77777777" w:rsidTr="001174E6">
              <w:tc>
                <w:tcPr>
                  <w:tcW w:w="0" w:type="auto"/>
                  <w:vAlign w:val="center"/>
                  <w:hideMark/>
                </w:tcPr>
                <w:p w14:paraId="148FC58B" w14:textId="77777777" w:rsidR="009E1A83" w:rsidRPr="00960526" w:rsidRDefault="009E1A83" w:rsidP="001174E6">
                  <w:pPr>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12.3.2.2 Holiday and other short-stay accommodation (NACE 55.2)</w:t>
                  </w:r>
                </w:p>
              </w:tc>
              <w:tc>
                <w:tcPr>
                  <w:tcW w:w="0" w:type="auto"/>
                  <w:hideMark/>
                </w:tcPr>
                <w:p w14:paraId="6A9A1A05" w14:textId="77777777" w:rsidR="009E1A83" w:rsidRPr="00960526" w:rsidRDefault="009E1A83" w:rsidP="009E1A83">
                  <w:pPr>
                    <w:spacing w:before="30" w:after="30"/>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 Census among units with 10 or more employees;</w:t>
                  </w:r>
                </w:p>
                <w:p w14:paraId="34E51852" w14:textId="77777777" w:rsidR="009E1A83" w:rsidRPr="00960526" w:rsidRDefault="009E1A83" w:rsidP="009E1A83">
                  <w:pPr>
                    <w:spacing w:before="30" w:after="30"/>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 xml:space="preserve">• A sample was taken from the remaining establishments, using stratification by size of enterprise and NACE.  </w:t>
                  </w:r>
                </w:p>
              </w:tc>
            </w:tr>
            <w:tr w:rsidR="009E1A83" w:rsidRPr="00960526" w14:paraId="69A94AB9" w14:textId="77777777" w:rsidTr="001174E6">
              <w:tc>
                <w:tcPr>
                  <w:tcW w:w="0" w:type="auto"/>
                  <w:vAlign w:val="center"/>
                  <w:hideMark/>
                </w:tcPr>
                <w:p w14:paraId="3E19A34D" w14:textId="77777777" w:rsidR="009E1A83" w:rsidRPr="00960526" w:rsidRDefault="009E1A83" w:rsidP="001174E6">
                  <w:pPr>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12.3.2.3 Camping grounds, etc. (NACE 55.3)</w:t>
                  </w:r>
                </w:p>
              </w:tc>
              <w:tc>
                <w:tcPr>
                  <w:tcW w:w="0" w:type="auto"/>
                  <w:hideMark/>
                </w:tcPr>
                <w:p w14:paraId="789AA825" w14:textId="77777777" w:rsidR="009E1A83" w:rsidRPr="00960526" w:rsidRDefault="009E1A83" w:rsidP="009E1A83">
                  <w:pPr>
                    <w:spacing w:before="30" w:after="30"/>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 Census among units with 10 or more employees;</w:t>
                  </w:r>
                </w:p>
                <w:p w14:paraId="60319836" w14:textId="77777777" w:rsidR="009E1A83" w:rsidRPr="00960526" w:rsidRDefault="009E1A83" w:rsidP="009E1A83">
                  <w:pPr>
                    <w:spacing w:before="30" w:after="30"/>
                    <w:rPr>
                      <w:rFonts w:ascii="Times New Roman" w:eastAsia="Times New Roman" w:hAnsi="Times New Roman" w:cs="Times New Roman"/>
                      <w:sz w:val="24"/>
                      <w:szCs w:val="24"/>
                    </w:rPr>
                  </w:pPr>
                  <w:r w:rsidRPr="00960526">
                    <w:rPr>
                      <w:rFonts w:ascii="Times New Roman" w:eastAsia="Times New Roman" w:hAnsi="Times New Roman" w:cs="Times New Roman"/>
                      <w:sz w:val="24"/>
                      <w:szCs w:val="24"/>
                    </w:rPr>
                    <w:t xml:space="preserve">• A sample was taken from the remaining establishments, using stratification by size of enterprise and NACE.  </w:t>
                  </w:r>
                </w:p>
              </w:tc>
            </w:tr>
          </w:tbl>
          <w:p w14:paraId="1EA485C2" w14:textId="77777777" w:rsidR="00677E55" w:rsidRPr="009E1A83" w:rsidRDefault="00677E55" w:rsidP="009E1A83">
            <w:pPr>
              <w:rPr>
                <w:noProof/>
                <w:color w:val="000000"/>
                <w:lang w:val="sq-AL" w:eastAsia="sq-AL"/>
              </w:rPr>
            </w:pPr>
          </w:p>
        </w:tc>
      </w:tr>
      <w:tr w:rsidR="0028142A" w:rsidRPr="00493D72" w14:paraId="5332C20D" w14:textId="77777777" w:rsidTr="0064501F">
        <w:trPr>
          <w:trHeight w:val="562"/>
        </w:trPr>
        <w:tc>
          <w:tcPr>
            <w:tcW w:w="0" w:type="auto"/>
            <w:gridSpan w:val="2"/>
            <w:shd w:val="clear" w:color="auto" w:fill="FBD4B4" w:themeFill="accent6" w:themeFillTint="66"/>
            <w:noWrap/>
            <w:vAlign w:val="center"/>
            <w:hideMark/>
          </w:tcPr>
          <w:p w14:paraId="6EA88CE9" w14:textId="77777777" w:rsidR="0028142A" w:rsidRPr="00493D72" w:rsidRDefault="0028142A"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69202500"/>
            <w:r w:rsidRPr="00493D72">
              <w:rPr>
                <w:rFonts w:ascii="Times New Roman" w:eastAsia="Times New Roman" w:hAnsi="Times New Roman" w:cs="Times New Roman"/>
                <w:noProof/>
                <w:color w:val="000000" w:themeColor="text1"/>
                <w:sz w:val="24"/>
                <w:szCs w:val="24"/>
                <w:lang w:val="sq-AL" w:eastAsia="sq-AL"/>
              </w:rPr>
              <w:lastRenderedPageBreak/>
              <w:t xml:space="preserve">13. </w:t>
            </w:r>
            <w:r w:rsidR="00286BF7" w:rsidRPr="00493D72">
              <w:rPr>
                <w:rFonts w:ascii="Times New Roman" w:eastAsia="Times New Roman" w:hAnsi="Times New Roman" w:cs="Times New Roman"/>
                <w:noProof/>
                <w:color w:val="000000" w:themeColor="text1"/>
                <w:sz w:val="24"/>
                <w:szCs w:val="24"/>
                <w:lang w:val="sq-AL" w:eastAsia="sq-AL"/>
              </w:rPr>
              <w:t>Accuracy and reliability</w:t>
            </w:r>
            <w:bookmarkEnd w:id="12"/>
          </w:p>
        </w:tc>
      </w:tr>
      <w:tr w:rsidR="00473EF5" w:rsidRPr="00493D72" w14:paraId="4D9202C0" w14:textId="77777777" w:rsidTr="00EA1937">
        <w:trPr>
          <w:trHeight w:val="562"/>
        </w:trPr>
        <w:tc>
          <w:tcPr>
            <w:tcW w:w="2371" w:type="dxa"/>
            <w:shd w:val="clear" w:color="auto" w:fill="FFFFCC"/>
            <w:noWrap/>
            <w:vAlign w:val="center"/>
            <w:hideMark/>
          </w:tcPr>
          <w:p w14:paraId="5D4B4CDB"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13.1. Overall accuracy</w:t>
            </w:r>
          </w:p>
        </w:tc>
        <w:tc>
          <w:tcPr>
            <w:tcW w:w="8311" w:type="dxa"/>
            <w:shd w:val="clear" w:color="auto" w:fill="auto"/>
            <w:vAlign w:val="center"/>
          </w:tcPr>
          <w:p w14:paraId="2CD0491F" w14:textId="094D3CCB" w:rsidR="00473EF5" w:rsidRPr="00493D72" w:rsidRDefault="00912E40" w:rsidP="0064501F">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DB35D6">
              <w:rPr>
                <w:rFonts w:ascii="Times New Roman" w:eastAsia="Times New Roman" w:hAnsi="Times New Roman" w:cs="Times New Roman"/>
                <w:noProof/>
                <w:color w:val="000000"/>
                <w:sz w:val="24"/>
                <w:szCs w:val="24"/>
                <w:lang w:val="sq-AL" w:eastAsia="sq-AL"/>
              </w:rPr>
              <w:t>Quality controls and validation of data are actions carried out throughout the process.</w:t>
            </w:r>
            <w:r>
              <w:rPr>
                <w:rFonts w:ascii="Times New Roman" w:eastAsia="Times New Roman" w:hAnsi="Times New Roman" w:cs="Times New Roman"/>
                <w:noProof/>
                <w:color w:val="000000"/>
                <w:sz w:val="24"/>
                <w:szCs w:val="24"/>
                <w:lang w:val="sq-AL" w:eastAsia="sq-AL"/>
              </w:rPr>
              <w:t xml:space="preserve"> </w:t>
            </w:r>
            <w:r w:rsidR="00960526" w:rsidRPr="00960526">
              <w:rPr>
                <w:rFonts w:ascii="Times New Roman" w:eastAsia="Times New Roman" w:hAnsi="Times New Roman" w:cs="Times New Roman"/>
                <w:noProof/>
                <w:color w:val="000000"/>
                <w:sz w:val="24"/>
                <w:szCs w:val="24"/>
                <w:lang w:val="sq-AL" w:eastAsia="sq-AL"/>
              </w:rPr>
              <w:t xml:space="preserve">It is a problem of the lack of one dedicated register for accommodation establishments which includes all the necessary variables to produce qualitative tourism statistics. When this register will be established, this will certainly contribute to a gradual reduction of under-coverage errors. The degree of under-coverage is unknown, because we do not know exactly how much is the actual number of all accommodation structures in Albania. Monthly surveys have helped to obtain very accurate information regarding under-coverage, and hence this problem exists only with the small units. All units that offer accommodation are </w:t>
            </w:r>
            <w:r w:rsidR="00960526" w:rsidRPr="00960526">
              <w:rPr>
                <w:rFonts w:ascii="Times New Roman" w:eastAsia="Times New Roman" w:hAnsi="Times New Roman" w:cs="Times New Roman"/>
                <w:noProof/>
                <w:color w:val="000000"/>
                <w:sz w:val="24"/>
                <w:szCs w:val="24"/>
                <w:lang w:val="sq-AL" w:eastAsia="sq-AL"/>
              </w:rPr>
              <w:lastRenderedPageBreak/>
              <w:t>not always registered in relevant activity in the Statistical B</w:t>
            </w:r>
            <w:r w:rsidR="00475847">
              <w:rPr>
                <w:rFonts w:ascii="Times New Roman" w:eastAsia="Times New Roman" w:hAnsi="Times New Roman" w:cs="Times New Roman"/>
                <w:noProof/>
                <w:color w:val="000000"/>
                <w:sz w:val="24"/>
                <w:szCs w:val="24"/>
                <w:lang w:val="sq-AL" w:eastAsia="sq-AL"/>
              </w:rPr>
              <w:t>usiness Register (especially L</w:t>
            </w:r>
            <w:r w:rsidR="00960526" w:rsidRPr="00960526">
              <w:rPr>
                <w:rFonts w:ascii="Times New Roman" w:eastAsia="Times New Roman" w:hAnsi="Times New Roman" w:cs="Times New Roman"/>
                <w:noProof/>
                <w:color w:val="000000"/>
                <w:sz w:val="24"/>
                <w:szCs w:val="24"/>
                <w:lang w:val="sq-AL" w:eastAsia="sq-AL"/>
              </w:rPr>
              <w:t>U).</w:t>
            </w:r>
            <w:r w:rsidR="00671850">
              <w:t xml:space="preserve"> </w:t>
            </w:r>
          </w:p>
        </w:tc>
      </w:tr>
      <w:tr w:rsidR="00671850" w:rsidRPr="00493D72" w14:paraId="4B4BFC88" w14:textId="77777777" w:rsidTr="00EA1937">
        <w:trPr>
          <w:trHeight w:val="656"/>
        </w:trPr>
        <w:tc>
          <w:tcPr>
            <w:tcW w:w="2371" w:type="dxa"/>
            <w:shd w:val="clear" w:color="auto" w:fill="FFFFCC"/>
            <w:noWrap/>
            <w:vAlign w:val="center"/>
          </w:tcPr>
          <w:p w14:paraId="75806D71" w14:textId="77777777" w:rsidR="00671850" w:rsidRPr="00493D72" w:rsidRDefault="00671850" w:rsidP="00493D72">
            <w:pPr>
              <w:spacing w:after="0"/>
              <w:rPr>
                <w:rFonts w:ascii="Times New Roman" w:eastAsia="Times New Roman" w:hAnsi="Times New Roman" w:cs="Times New Roman"/>
                <w:noProof/>
                <w:color w:val="000000"/>
                <w:sz w:val="24"/>
                <w:szCs w:val="24"/>
                <w:lang w:val="sq-AL" w:eastAsia="sq-AL"/>
              </w:rPr>
            </w:pPr>
            <w:r w:rsidRPr="00671850">
              <w:rPr>
                <w:rFonts w:ascii="Times New Roman" w:eastAsia="Times New Roman" w:hAnsi="Times New Roman" w:cs="Times New Roman"/>
                <w:noProof/>
                <w:color w:val="000000"/>
                <w:sz w:val="24"/>
                <w:szCs w:val="24"/>
                <w:lang w:val="sq-AL" w:eastAsia="sq-AL"/>
              </w:rPr>
              <w:lastRenderedPageBreak/>
              <w:t>13.2. Sampling error</w:t>
            </w:r>
          </w:p>
        </w:tc>
        <w:tc>
          <w:tcPr>
            <w:tcW w:w="8311" w:type="dxa"/>
            <w:shd w:val="clear" w:color="auto" w:fill="auto"/>
            <w:vAlign w:val="center"/>
          </w:tcPr>
          <w:p w14:paraId="5AF38541" w14:textId="77777777" w:rsidR="00671850" w:rsidRPr="00960526" w:rsidRDefault="00671850" w:rsidP="00CF02AF">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Not applicable.</w:t>
            </w:r>
          </w:p>
        </w:tc>
      </w:tr>
      <w:tr w:rsidR="00473EF5" w:rsidRPr="00493D72" w14:paraId="0F3D6353" w14:textId="77777777" w:rsidTr="00EA1937">
        <w:trPr>
          <w:trHeight w:val="3410"/>
        </w:trPr>
        <w:tc>
          <w:tcPr>
            <w:tcW w:w="2371" w:type="dxa"/>
            <w:shd w:val="clear" w:color="auto" w:fill="FFFFCC"/>
            <w:noWrap/>
            <w:vAlign w:val="center"/>
            <w:hideMark/>
          </w:tcPr>
          <w:p w14:paraId="3D23D927"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57DF6">
              <w:rPr>
                <w:rFonts w:ascii="Times New Roman" w:eastAsia="Times New Roman" w:hAnsi="Times New Roman" w:cs="Times New Roman"/>
                <w:noProof/>
                <w:color w:val="000000"/>
                <w:sz w:val="24"/>
                <w:szCs w:val="24"/>
                <w:lang w:val="sq-AL" w:eastAsia="sq-AL"/>
              </w:rPr>
              <w:t>13.3. Non - sampling error</w:t>
            </w:r>
          </w:p>
        </w:tc>
        <w:tc>
          <w:tcPr>
            <w:tcW w:w="8311" w:type="dxa"/>
            <w:shd w:val="clear" w:color="auto" w:fill="auto"/>
            <w:vAlign w:val="center"/>
          </w:tcPr>
          <w:p w14:paraId="234E8EA7" w14:textId="5EE94FC9" w:rsidR="002E331E" w:rsidRPr="00457778" w:rsidRDefault="000D2BE2" w:rsidP="00CF02AF">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457778">
              <w:rPr>
                <w:rFonts w:ascii="Times New Roman" w:eastAsia="Times New Roman" w:hAnsi="Times New Roman" w:cs="Times New Roman"/>
                <w:noProof/>
                <w:color w:val="000000"/>
                <w:sz w:val="24"/>
                <w:szCs w:val="24"/>
                <w:lang w:val="sq-AL" w:eastAsia="sq-AL"/>
              </w:rPr>
              <w:t xml:space="preserve">Monthly non-response is estimated at around </w:t>
            </w:r>
            <w:r w:rsidR="009E2388" w:rsidRPr="00457778">
              <w:rPr>
                <w:rFonts w:ascii="Times New Roman" w:eastAsia="Times New Roman" w:hAnsi="Times New Roman" w:cs="Times New Roman"/>
                <w:noProof/>
                <w:color w:val="000000" w:themeColor="text1"/>
                <w:sz w:val="24"/>
                <w:szCs w:val="24"/>
                <w:lang w:val="sq-AL" w:eastAsia="sq-AL"/>
              </w:rPr>
              <w:t>7.78</w:t>
            </w:r>
            <w:r w:rsidR="002E331E" w:rsidRPr="00457778">
              <w:rPr>
                <w:rFonts w:ascii="Times New Roman" w:eastAsia="Times New Roman" w:hAnsi="Times New Roman" w:cs="Times New Roman"/>
                <w:noProof/>
                <w:color w:val="000000" w:themeColor="text1"/>
                <w:sz w:val="24"/>
                <w:szCs w:val="24"/>
                <w:lang w:val="sq-AL" w:eastAsia="sq-AL"/>
              </w:rPr>
              <w:t xml:space="preserve"> % </w:t>
            </w:r>
            <w:r w:rsidRPr="00457778">
              <w:rPr>
                <w:rFonts w:ascii="Times New Roman" w:eastAsia="Times New Roman" w:hAnsi="Times New Roman" w:cs="Times New Roman"/>
                <w:noProof/>
                <w:color w:val="000000"/>
                <w:sz w:val="24"/>
                <w:szCs w:val="24"/>
                <w:lang w:val="sq-AL" w:eastAsia="sq-AL"/>
              </w:rPr>
              <w:t xml:space="preserve">and missing information is imputed using appropriate mathematical methods which take on board longitudinal data. </w:t>
            </w:r>
          </w:p>
          <w:p w14:paraId="17C35C36" w14:textId="50E058D3" w:rsidR="000D2BE2" w:rsidRPr="00457778" w:rsidRDefault="000D2BE2" w:rsidP="00CF02AF">
            <w:pPr>
              <w:spacing w:before="120" w:after="120" w:line="240" w:lineRule="auto"/>
              <w:ind w:left="101" w:right="86"/>
              <w:jc w:val="both"/>
              <w:rPr>
                <w:rFonts w:ascii="Times New Roman" w:eastAsia="Times New Roman" w:hAnsi="Times New Roman" w:cs="Times New Roman"/>
                <w:noProof/>
                <w:color w:val="FF0000"/>
                <w:sz w:val="24"/>
                <w:szCs w:val="24"/>
                <w:lang w:val="sq-AL" w:eastAsia="sq-AL"/>
              </w:rPr>
            </w:pPr>
            <w:r w:rsidRPr="00457778">
              <w:rPr>
                <w:rFonts w:ascii="Times New Roman" w:eastAsia="Times New Roman" w:hAnsi="Times New Roman" w:cs="Times New Roman"/>
                <w:noProof/>
                <w:color w:val="000000"/>
                <w:sz w:val="24"/>
                <w:szCs w:val="24"/>
                <w:lang w:val="sq-AL" w:eastAsia="sq-AL"/>
              </w:rPr>
              <w:t>Item non</w:t>
            </w:r>
            <w:r w:rsidR="002E331E" w:rsidRPr="00457778">
              <w:rPr>
                <w:rFonts w:ascii="Times New Roman" w:eastAsia="Times New Roman" w:hAnsi="Times New Roman" w:cs="Times New Roman"/>
                <w:noProof/>
                <w:color w:val="000000"/>
                <w:sz w:val="24"/>
                <w:szCs w:val="24"/>
                <w:lang w:val="sq-AL" w:eastAsia="sq-AL"/>
              </w:rPr>
              <w:t>-</w:t>
            </w:r>
            <w:r w:rsidRPr="00457778">
              <w:rPr>
                <w:rFonts w:ascii="Times New Roman" w:eastAsia="Times New Roman" w:hAnsi="Times New Roman" w:cs="Times New Roman"/>
                <w:noProof/>
                <w:color w:val="000000"/>
                <w:sz w:val="24"/>
                <w:szCs w:val="24"/>
                <w:lang w:val="sq-AL" w:eastAsia="sq-AL"/>
              </w:rPr>
              <w:t xml:space="preserve">response rate for the main variable are: </w:t>
            </w:r>
            <w:r w:rsidR="000D2B8E" w:rsidRPr="00457778">
              <w:rPr>
                <w:rFonts w:ascii="Times New Roman" w:eastAsia="Times New Roman" w:hAnsi="Times New Roman" w:cs="Times New Roman"/>
                <w:noProof/>
                <w:color w:val="000000"/>
                <w:sz w:val="24"/>
                <w:szCs w:val="24"/>
                <w:lang w:val="sq-AL" w:eastAsia="sq-AL"/>
              </w:rPr>
              <w:t>The total number of clients during the month</w:t>
            </w:r>
            <w:r w:rsidRPr="00457778">
              <w:rPr>
                <w:rFonts w:ascii="Times New Roman" w:eastAsia="Times New Roman" w:hAnsi="Times New Roman" w:cs="Times New Roman"/>
                <w:noProof/>
                <w:color w:val="000000"/>
                <w:sz w:val="24"/>
                <w:szCs w:val="24"/>
                <w:lang w:val="sq-AL" w:eastAsia="sq-AL"/>
              </w:rPr>
              <w:t xml:space="preserve"> of resident visitors is </w:t>
            </w:r>
            <w:r w:rsidR="002E331E" w:rsidRPr="00457778">
              <w:rPr>
                <w:rFonts w:ascii="Times New Roman" w:eastAsia="Times New Roman" w:hAnsi="Times New Roman" w:cs="Times New Roman"/>
                <w:noProof/>
                <w:color w:val="000000" w:themeColor="text1"/>
                <w:sz w:val="24"/>
                <w:szCs w:val="24"/>
                <w:lang w:val="sq-AL" w:eastAsia="sq-AL"/>
              </w:rPr>
              <w:t>1</w:t>
            </w:r>
            <w:r w:rsidR="009E2388" w:rsidRPr="00457778">
              <w:rPr>
                <w:rFonts w:ascii="Times New Roman" w:eastAsia="Times New Roman" w:hAnsi="Times New Roman" w:cs="Times New Roman"/>
                <w:noProof/>
                <w:color w:val="000000" w:themeColor="text1"/>
                <w:sz w:val="24"/>
                <w:szCs w:val="24"/>
                <w:lang w:val="sq-AL" w:eastAsia="sq-AL"/>
              </w:rPr>
              <w:t>4</w:t>
            </w:r>
            <w:r w:rsidR="002E331E" w:rsidRPr="00457778">
              <w:rPr>
                <w:rFonts w:ascii="Times New Roman" w:eastAsia="Times New Roman" w:hAnsi="Times New Roman" w:cs="Times New Roman"/>
                <w:noProof/>
                <w:color w:val="000000" w:themeColor="text1"/>
                <w:sz w:val="24"/>
                <w:szCs w:val="24"/>
                <w:lang w:val="sq-AL" w:eastAsia="sq-AL"/>
              </w:rPr>
              <w:t>.</w:t>
            </w:r>
            <w:r w:rsidR="009E2388" w:rsidRPr="00457778">
              <w:rPr>
                <w:rFonts w:ascii="Times New Roman" w:eastAsia="Times New Roman" w:hAnsi="Times New Roman" w:cs="Times New Roman"/>
                <w:noProof/>
                <w:color w:val="000000" w:themeColor="text1"/>
                <w:sz w:val="24"/>
                <w:szCs w:val="24"/>
                <w:lang w:val="sq-AL" w:eastAsia="sq-AL"/>
              </w:rPr>
              <w:t>52</w:t>
            </w:r>
            <w:r w:rsidR="002E331E" w:rsidRPr="00457778">
              <w:rPr>
                <w:rFonts w:ascii="Times New Roman" w:eastAsia="Times New Roman" w:hAnsi="Times New Roman" w:cs="Times New Roman"/>
                <w:noProof/>
                <w:color w:val="000000" w:themeColor="text1"/>
                <w:sz w:val="24"/>
                <w:szCs w:val="24"/>
                <w:lang w:val="sq-AL" w:eastAsia="sq-AL"/>
              </w:rPr>
              <w:t xml:space="preserve">%, </w:t>
            </w:r>
            <w:r w:rsidR="000D2B8E" w:rsidRPr="00457778">
              <w:rPr>
                <w:rFonts w:ascii="Times New Roman" w:eastAsia="Times New Roman" w:hAnsi="Times New Roman" w:cs="Times New Roman"/>
                <w:noProof/>
                <w:color w:val="000000"/>
                <w:sz w:val="24"/>
                <w:szCs w:val="24"/>
                <w:lang w:val="sq-AL" w:eastAsia="sq-AL"/>
              </w:rPr>
              <w:t>The total number of overnight stays during the month</w:t>
            </w:r>
            <w:r w:rsidRPr="00457778">
              <w:rPr>
                <w:rFonts w:ascii="Times New Roman" w:eastAsia="Times New Roman" w:hAnsi="Times New Roman" w:cs="Times New Roman"/>
                <w:noProof/>
                <w:color w:val="000000"/>
                <w:sz w:val="24"/>
                <w:szCs w:val="24"/>
                <w:lang w:val="sq-AL" w:eastAsia="sq-AL"/>
              </w:rPr>
              <w:t xml:space="preserve"> by resident visitors is </w:t>
            </w:r>
            <w:r w:rsidR="009E2388" w:rsidRPr="00457778">
              <w:rPr>
                <w:rFonts w:ascii="Times New Roman" w:eastAsia="Times New Roman" w:hAnsi="Times New Roman" w:cs="Times New Roman"/>
                <w:noProof/>
                <w:color w:val="000000" w:themeColor="text1"/>
                <w:sz w:val="24"/>
                <w:szCs w:val="24"/>
                <w:lang w:val="sq-AL" w:eastAsia="sq-AL"/>
              </w:rPr>
              <w:t>14.52</w:t>
            </w:r>
            <w:r w:rsidR="00671850" w:rsidRPr="00457778">
              <w:rPr>
                <w:rFonts w:ascii="Times New Roman" w:eastAsia="Times New Roman" w:hAnsi="Times New Roman" w:cs="Times New Roman"/>
                <w:noProof/>
                <w:color w:val="000000" w:themeColor="text1"/>
                <w:sz w:val="24"/>
                <w:szCs w:val="24"/>
                <w:lang w:val="sq-AL" w:eastAsia="sq-AL"/>
              </w:rPr>
              <w:t>%.</w:t>
            </w:r>
          </w:p>
          <w:p w14:paraId="3CB5384B" w14:textId="3E2A63DF" w:rsidR="002E331E" w:rsidRPr="00457778" w:rsidRDefault="000D2BE2" w:rsidP="00CB1809">
            <w:pPr>
              <w:spacing w:before="120" w:line="240" w:lineRule="auto"/>
              <w:ind w:left="101" w:right="86"/>
              <w:jc w:val="both"/>
              <w:rPr>
                <w:rFonts w:ascii="Times New Roman" w:eastAsia="Times New Roman" w:hAnsi="Times New Roman" w:cs="Times New Roman"/>
                <w:noProof/>
                <w:color w:val="000000"/>
                <w:sz w:val="24"/>
                <w:szCs w:val="24"/>
                <w:lang w:val="sq-AL" w:eastAsia="sq-AL"/>
              </w:rPr>
            </w:pPr>
            <w:r w:rsidRPr="00457778">
              <w:rPr>
                <w:rFonts w:ascii="Times New Roman" w:eastAsia="Times New Roman" w:hAnsi="Times New Roman" w:cs="Times New Roman"/>
                <w:noProof/>
                <w:color w:val="000000"/>
                <w:sz w:val="24"/>
                <w:szCs w:val="24"/>
                <w:lang w:val="sq-AL" w:eastAsia="sq-AL"/>
              </w:rPr>
              <w:t>Over-coverage is possible when a unit is registered in the activity under observation, but it actually performs some other activity, which is not the subject of observation</w:t>
            </w:r>
            <w:r w:rsidR="002F5856" w:rsidRPr="00457778">
              <w:rPr>
                <w:rFonts w:ascii="Times New Roman" w:eastAsia="Times New Roman" w:hAnsi="Times New Roman" w:cs="Times New Roman"/>
                <w:noProof/>
                <w:color w:val="000000"/>
                <w:sz w:val="24"/>
                <w:szCs w:val="24"/>
                <w:lang w:val="sq-AL" w:eastAsia="sq-AL"/>
              </w:rPr>
              <w:t>,</w:t>
            </w:r>
            <w:r w:rsidR="00B37A25" w:rsidRPr="00457778">
              <w:rPr>
                <w:rFonts w:ascii="Times New Roman" w:eastAsia="Times New Roman" w:hAnsi="Times New Roman" w:cs="Times New Roman"/>
                <w:noProof/>
                <w:color w:val="000000"/>
                <w:sz w:val="24"/>
                <w:szCs w:val="24"/>
                <w:lang w:val="sq-AL" w:eastAsia="sq-AL"/>
              </w:rPr>
              <w:t xml:space="preserve"> or it is not active anymore</w:t>
            </w:r>
            <w:r w:rsidRPr="00457778">
              <w:rPr>
                <w:rFonts w:ascii="Times New Roman" w:eastAsia="Times New Roman" w:hAnsi="Times New Roman" w:cs="Times New Roman"/>
                <w:noProof/>
                <w:color w:val="000000"/>
                <w:sz w:val="24"/>
                <w:szCs w:val="24"/>
                <w:lang w:val="sq-AL" w:eastAsia="sq-AL"/>
              </w:rPr>
              <w:t xml:space="preserve">. Over coverage rate for </w:t>
            </w:r>
            <w:r w:rsidR="000D2B8E" w:rsidRPr="00457778">
              <w:rPr>
                <w:rFonts w:ascii="Times New Roman" w:hAnsi="Times New Roman" w:cs="Times New Roman"/>
                <w:sz w:val="24"/>
                <w:szCs w:val="24"/>
              </w:rPr>
              <w:t xml:space="preserve">Accommodation Establishments Survey is </w:t>
            </w:r>
            <w:r w:rsidR="00CB1809" w:rsidRPr="00457778">
              <w:rPr>
                <w:rFonts w:ascii="Times New Roman" w:eastAsia="Times New Roman" w:hAnsi="Times New Roman" w:cs="Times New Roman"/>
                <w:noProof/>
                <w:color w:val="000000" w:themeColor="text1"/>
                <w:sz w:val="24"/>
                <w:szCs w:val="24"/>
                <w:lang w:val="sq-AL" w:eastAsia="sq-AL"/>
              </w:rPr>
              <w:t>3.67</w:t>
            </w:r>
            <w:r w:rsidR="002E331E" w:rsidRPr="00457778">
              <w:rPr>
                <w:rFonts w:ascii="Times New Roman" w:eastAsia="Times New Roman" w:hAnsi="Times New Roman" w:cs="Times New Roman"/>
                <w:noProof/>
                <w:color w:val="000000" w:themeColor="text1"/>
                <w:sz w:val="24"/>
                <w:szCs w:val="24"/>
                <w:lang w:val="sq-AL" w:eastAsia="sq-AL"/>
              </w:rPr>
              <w:t xml:space="preserve"> %.</w:t>
            </w:r>
          </w:p>
        </w:tc>
      </w:tr>
      <w:tr w:rsidR="002149D3" w:rsidRPr="00493D72" w14:paraId="564F1250" w14:textId="77777777" w:rsidTr="00493D72">
        <w:trPr>
          <w:trHeight w:val="567"/>
        </w:trPr>
        <w:tc>
          <w:tcPr>
            <w:tcW w:w="0" w:type="auto"/>
            <w:gridSpan w:val="2"/>
            <w:shd w:val="clear" w:color="auto" w:fill="FBD4B4" w:themeFill="accent6" w:themeFillTint="66"/>
            <w:noWrap/>
            <w:vAlign w:val="center"/>
            <w:hideMark/>
          </w:tcPr>
          <w:p w14:paraId="411824F8" w14:textId="77777777" w:rsidR="002149D3" w:rsidRPr="00493D72" w:rsidRDefault="002149D3" w:rsidP="00493D72">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3" w:name="_Toc69202501"/>
            <w:r w:rsidRPr="00493D72">
              <w:rPr>
                <w:rFonts w:ascii="Times New Roman" w:eastAsia="Times New Roman" w:hAnsi="Times New Roman" w:cs="Times New Roman"/>
                <w:noProof/>
                <w:color w:val="000000" w:themeColor="text1"/>
                <w:sz w:val="24"/>
                <w:szCs w:val="24"/>
                <w:lang w:val="sq-AL" w:eastAsia="sq-AL"/>
              </w:rPr>
              <w:t xml:space="preserve">14. </w:t>
            </w:r>
            <w:r w:rsidR="00286BF7" w:rsidRPr="00493D72">
              <w:rPr>
                <w:rFonts w:ascii="Times New Roman" w:eastAsia="Times New Roman" w:hAnsi="Times New Roman" w:cs="Times New Roman"/>
                <w:noProof/>
                <w:color w:val="000000" w:themeColor="text1"/>
                <w:sz w:val="24"/>
                <w:szCs w:val="24"/>
                <w:lang w:val="sq-AL" w:eastAsia="sq-AL"/>
              </w:rPr>
              <w:t>Timeliness and punctuality</w:t>
            </w:r>
            <w:bookmarkEnd w:id="13"/>
          </w:p>
        </w:tc>
      </w:tr>
      <w:tr w:rsidR="00473EF5" w:rsidRPr="00493D72" w14:paraId="6693E792" w14:textId="77777777" w:rsidTr="00EA1937">
        <w:trPr>
          <w:trHeight w:val="2357"/>
        </w:trPr>
        <w:tc>
          <w:tcPr>
            <w:tcW w:w="2371" w:type="dxa"/>
            <w:shd w:val="clear" w:color="auto" w:fill="FFFFCC"/>
            <w:noWrap/>
            <w:vAlign w:val="center"/>
            <w:hideMark/>
          </w:tcPr>
          <w:p w14:paraId="327E6732" w14:textId="77777777" w:rsidR="00473EF5" w:rsidRPr="00493D72" w:rsidRDefault="00473EF5" w:rsidP="00493D72">
            <w:pPr>
              <w:spacing w:after="0"/>
              <w:rPr>
                <w:rFonts w:ascii="Times New Roman" w:eastAsia="Times New Roman" w:hAnsi="Times New Roman" w:cs="Times New Roman"/>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14.1. Timeliness</w:t>
            </w:r>
          </w:p>
        </w:tc>
        <w:tc>
          <w:tcPr>
            <w:tcW w:w="8311" w:type="dxa"/>
            <w:shd w:val="clear" w:color="auto" w:fill="auto"/>
            <w:vAlign w:val="center"/>
          </w:tcPr>
          <w:p w14:paraId="3649C4BA" w14:textId="0A9FF47A" w:rsidR="00473EF5" w:rsidRPr="00457778" w:rsidRDefault="00DE15BC" w:rsidP="00CF7A88">
            <w:pPr>
              <w:spacing w:before="120" w:after="120" w:line="240" w:lineRule="auto"/>
              <w:ind w:left="101" w:right="86"/>
              <w:jc w:val="both"/>
              <w:rPr>
                <w:rFonts w:ascii="Times New Roman" w:hAnsi="Times New Roman" w:cs="Times New Roman"/>
                <w:sz w:val="24"/>
                <w:szCs w:val="24"/>
              </w:rPr>
            </w:pPr>
            <w:r w:rsidRPr="00457778">
              <w:rPr>
                <w:rFonts w:ascii="Times New Roman" w:hAnsi="Times New Roman" w:cs="Times New Roman"/>
                <w:sz w:val="24"/>
                <w:szCs w:val="24"/>
              </w:rPr>
              <w:t xml:space="preserve">Results of Accommodation Establishments Survey are published on INSTAT website </w:t>
            </w:r>
            <w:r w:rsidR="00BD0B78" w:rsidRPr="00457778">
              <w:rPr>
                <w:rFonts w:ascii="Times New Roman" w:hAnsi="Times New Roman" w:cs="Times New Roman"/>
                <w:sz w:val="24"/>
                <w:szCs w:val="24"/>
              </w:rPr>
              <w:t>5</w:t>
            </w:r>
            <w:r w:rsidRPr="00457778">
              <w:rPr>
                <w:rFonts w:ascii="Times New Roman" w:hAnsi="Times New Roman" w:cs="Times New Roman"/>
                <w:sz w:val="24"/>
                <w:szCs w:val="24"/>
              </w:rPr>
              <w:t xml:space="preserve">0 days after the end of the reference period (T + </w:t>
            </w:r>
            <w:r w:rsidR="00BD0B78" w:rsidRPr="00457778">
              <w:rPr>
                <w:rFonts w:ascii="Times New Roman" w:hAnsi="Times New Roman" w:cs="Times New Roman"/>
                <w:sz w:val="24"/>
                <w:szCs w:val="24"/>
              </w:rPr>
              <w:t>5</w:t>
            </w:r>
            <w:r w:rsidRPr="00457778">
              <w:rPr>
                <w:rFonts w:ascii="Times New Roman" w:hAnsi="Times New Roman" w:cs="Times New Roman"/>
                <w:sz w:val="24"/>
                <w:szCs w:val="24"/>
              </w:rPr>
              <w:t xml:space="preserve">0 days). </w:t>
            </w:r>
            <w:r w:rsidRPr="00457778">
              <w:rPr>
                <w:rFonts w:ascii="Times New Roman" w:eastAsia="Times New Roman" w:hAnsi="Times New Roman" w:cs="Times New Roman"/>
                <w:noProof/>
                <w:sz w:val="24"/>
                <w:szCs w:val="24"/>
                <w:lang w:val="sq-AL" w:eastAsia="sq-AL"/>
              </w:rPr>
              <w:t xml:space="preserve">The reference period of these results of </w:t>
            </w:r>
            <w:r w:rsidR="00E50819" w:rsidRPr="00457778">
              <w:rPr>
                <w:rFonts w:ascii="Times New Roman" w:eastAsia="Times New Roman" w:hAnsi="Times New Roman" w:cs="Times New Roman"/>
                <w:noProof/>
                <w:sz w:val="24"/>
                <w:szCs w:val="24"/>
                <w:lang w:val="sq-AL" w:eastAsia="sq-AL"/>
              </w:rPr>
              <w:t xml:space="preserve">the </w:t>
            </w:r>
            <w:r w:rsidRPr="00457778">
              <w:rPr>
                <w:rFonts w:ascii="Times New Roman" w:eastAsia="Times New Roman" w:hAnsi="Times New Roman" w:cs="Times New Roman"/>
                <w:noProof/>
                <w:sz w:val="24"/>
                <w:szCs w:val="24"/>
                <w:lang w:val="sq-AL" w:eastAsia="sq-AL"/>
              </w:rPr>
              <w:t>Accommodation Establishments</w:t>
            </w:r>
            <w:r w:rsidR="00F26663" w:rsidRPr="00457778">
              <w:rPr>
                <w:rFonts w:ascii="Times New Roman" w:eastAsia="Times New Roman" w:hAnsi="Times New Roman" w:cs="Times New Roman"/>
                <w:noProof/>
                <w:sz w:val="24"/>
                <w:szCs w:val="24"/>
                <w:lang w:val="sq-AL" w:eastAsia="sq-AL"/>
              </w:rPr>
              <w:t xml:space="preserve"> Survey </w:t>
            </w:r>
            <w:r w:rsidRPr="00457778">
              <w:rPr>
                <w:rFonts w:ascii="Times New Roman" w:eastAsia="Times New Roman" w:hAnsi="Times New Roman" w:cs="Times New Roman"/>
                <w:noProof/>
                <w:sz w:val="24"/>
                <w:szCs w:val="24"/>
                <w:lang w:val="sq-AL" w:eastAsia="sq-AL"/>
              </w:rPr>
              <w:t xml:space="preserve">is December </w:t>
            </w:r>
            <w:r w:rsidR="000044E1" w:rsidRPr="00457778">
              <w:rPr>
                <w:rFonts w:ascii="Times New Roman" w:eastAsia="Times New Roman" w:hAnsi="Times New Roman" w:cs="Times New Roman"/>
                <w:noProof/>
                <w:sz w:val="24"/>
                <w:szCs w:val="24"/>
                <w:lang w:val="sq-AL" w:eastAsia="sq-AL"/>
              </w:rPr>
              <w:t>31st,</w:t>
            </w:r>
            <w:r w:rsidRPr="00457778">
              <w:rPr>
                <w:rFonts w:ascii="Times New Roman" w:eastAsia="Times New Roman" w:hAnsi="Times New Roman" w:cs="Times New Roman"/>
                <w:noProof/>
                <w:sz w:val="24"/>
                <w:szCs w:val="24"/>
                <w:lang w:val="sq-AL" w:eastAsia="sq-AL"/>
              </w:rPr>
              <w:t xml:space="preserve"> 20</w:t>
            </w:r>
            <w:r w:rsidR="00BD0B78" w:rsidRPr="00457778">
              <w:rPr>
                <w:rFonts w:ascii="Times New Roman" w:eastAsia="Times New Roman" w:hAnsi="Times New Roman" w:cs="Times New Roman"/>
                <w:noProof/>
                <w:sz w:val="24"/>
                <w:szCs w:val="24"/>
                <w:lang w:val="sq-AL" w:eastAsia="sq-AL"/>
              </w:rPr>
              <w:t>20</w:t>
            </w:r>
            <w:r w:rsidRPr="00457778">
              <w:rPr>
                <w:rFonts w:ascii="Times New Roman" w:eastAsia="Times New Roman" w:hAnsi="Times New Roman" w:cs="Times New Roman"/>
                <w:noProof/>
                <w:sz w:val="24"/>
                <w:szCs w:val="24"/>
                <w:lang w:val="sq-AL" w:eastAsia="sq-AL"/>
              </w:rPr>
              <w:t>.</w:t>
            </w:r>
          </w:p>
          <w:tbl>
            <w:tblPr>
              <w:tblW w:w="3455" w:type="dxa"/>
              <w:tblLook w:val="04A0" w:firstRow="1" w:lastRow="0" w:firstColumn="1" w:lastColumn="0" w:noHBand="0" w:noVBand="1"/>
            </w:tblPr>
            <w:tblGrid>
              <w:gridCol w:w="2025"/>
              <w:gridCol w:w="1430"/>
            </w:tblGrid>
            <w:tr w:rsidR="00E51684" w:rsidRPr="00457778" w14:paraId="17A50749" w14:textId="77777777" w:rsidTr="000E4F0C">
              <w:trPr>
                <w:trHeight w:val="300"/>
              </w:trPr>
              <w:tc>
                <w:tcPr>
                  <w:tcW w:w="20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CEC0F" w14:textId="77777777" w:rsidR="00E51684" w:rsidRPr="00457778" w:rsidRDefault="00E51684" w:rsidP="007A08DA">
                  <w:pPr>
                    <w:spacing w:after="0" w:line="240" w:lineRule="auto"/>
                    <w:rPr>
                      <w:rFonts w:ascii="Times New Roman" w:eastAsia="Times New Roman" w:hAnsi="Times New Roman" w:cs="Times New Roman"/>
                      <w:color w:val="000000"/>
                    </w:rPr>
                  </w:pPr>
                  <w:r w:rsidRPr="00457778">
                    <w:rPr>
                      <w:rFonts w:ascii="Times New Roman" w:eastAsia="Times New Roman" w:hAnsi="Times New Roman" w:cs="Times New Roman"/>
                      <w:color w:val="000000"/>
                    </w:rPr>
                    <w:t>Reference period</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55C8E925" w14:textId="6A1B6B0C" w:rsidR="00E51684" w:rsidRPr="00457778" w:rsidRDefault="00E51684" w:rsidP="00BB4E9A">
                  <w:pPr>
                    <w:spacing w:after="0" w:line="240" w:lineRule="auto"/>
                    <w:jc w:val="right"/>
                    <w:rPr>
                      <w:rFonts w:ascii="Times New Roman" w:eastAsia="Times New Roman" w:hAnsi="Times New Roman" w:cs="Times New Roman"/>
                      <w:color w:val="000000"/>
                      <w:sz w:val="24"/>
                      <w:szCs w:val="24"/>
                    </w:rPr>
                  </w:pPr>
                  <w:r w:rsidRPr="00457778">
                    <w:rPr>
                      <w:rFonts w:ascii="Times New Roman" w:eastAsia="Times New Roman" w:hAnsi="Times New Roman" w:cs="Times New Roman"/>
                      <w:color w:val="000000"/>
                      <w:sz w:val="24"/>
                      <w:szCs w:val="24"/>
                    </w:rPr>
                    <w:t>12/31/20</w:t>
                  </w:r>
                  <w:r w:rsidR="00BB4E9A" w:rsidRPr="00457778">
                    <w:rPr>
                      <w:rFonts w:ascii="Times New Roman" w:eastAsia="Times New Roman" w:hAnsi="Times New Roman" w:cs="Times New Roman"/>
                      <w:color w:val="000000"/>
                      <w:sz w:val="24"/>
                      <w:szCs w:val="24"/>
                    </w:rPr>
                    <w:t>20</w:t>
                  </w:r>
                </w:p>
              </w:tc>
            </w:tr>
            <w:tr w:rsidR="00E51684" w:rsidRPr="00457778" w14:paraId="11DA26E6" w14:textId="77777777" w:rsidTr="000E4F0C">
              <w:trPr>
                <w:trHeight w:val="300"/>
              </w:trPr>
              <w:tc>
                <w:tcPr>
                  <w:tcW w:w="2025" w:type="dxa"/>
                  <w:tcBorders>
                    <w:top w:val="nil"/>
                    <w:left w:val="single" w:sz="4" w:space="0" w:color="auto"/>
                    <w:bottom w:val="single" w:sz="4" w:space="0" w:color="auto"/>
                    <w:right w:val="single" w:sz="4" w:space="0" w:color="auto"/>
                  </w:tcBorders>
                  <w:shd w:val="clear" w:color="auto" w:fill="auto"/>
                  <w:vAlign w:val="bottom"/>
                  <w:hideMark/>
                </w:tcPr>
                <w:p w14:paraId="31154301" w14:textId="77777777" w:rsidR="00E51684" w:rsidRPr="00457778" w:rsidRDefault="00E51684" w:rsidP="007A08DA">
                  <w:pPr>
                    <w:spacing w:after="0" w:line="240" w:lineRule="auto"/>
                    <w:rPr>
                      <w:rFonts w:ascii="Times New Roman" w:eastAsia="Times New Roman" w:hAnsi="Times New Roman" w:cs="Times New Roman"/>
                      <w:color w:val="000000"/>
                    </w:rPr>
                  </w:pPr>
                  <w:r w:rsidRPr="00457778">
                    <w:rPr>
                      <w:rFonts w:ascii="Times New Roman" w:eastAsia="Times New Roman" w:hAnsi="Times New Roman" w:cs="Times New Roman"/>
                      <w:color w:val="000000"/>
                    </w:rPr>
                    <w:t>Date of publication</w:t>
                  </w:r>
                </w:p>
              </w:tc>
              <w:tc>
                <w:tcPr>
                  <w:tcW w:w="1430" w:type="dxa"/>
                  <w:tcBorders>
                    <w:top w:val="nil"/>
                    <w:left w:val="nil"/>
                    <w:bottom w:val="single" w:sz="4" w:space="0" w:color="auto"/>
                    <w:right w:val="single" w:sz="4" w:space="0" w:color="auto"/>
                  </w:tcBorders>
                  <w:shd w:val="clear" w:color="auto" w:fill="auto"/>
                  <w:noWrap/>
                  <w:vAlign w:val="center"/>
                  <w:hideMark/>
                </w:tcPr>
                <w:p w14:paraId="17B83BC8" w14:textId="3B31A1E9" w:rsidR="00E51684" w:rsidRPr="00457778" w:rsidRDefault="00BB4E9A" w:rsidP="00BB4E9A">
                  <w:pPr>
                    <w:spacing w:after="0" w:line="240" w:lineRule="auto"/>
                    <w:jc w:val="right"/>
                    <w:rPr>
                      <w:rFonts w:ascii="Times New Roman" w:eastAsia="Times New Roman" w:hAnsi="Times New Roman" w:cs="Times New Roman"/>
                      <w:color w:val="000000"/>
                      <w:sz w:val="24"/>
                      <w:szCs w:val="24"/>
                    </w:rPr>
                  </w:pPr>
                  <w:r w:rsidRPr="00457778">
                    <w:rPr>
                      <w:rFonts w:ascii="Times New Roman" w:eastAsia="Times New Roman" w:hAnsi="Times New Roman" w:cs="Times New Roman"/>
                      <w:color w:val="000000"/>
                      <w:sz w:val="24"/>
                      <w:szCs w:val="24"/>
                    </w:rPr>
                    <w:t>2/19</w:t>
                  </w:r>
                  <w:r w:rsidR="00E51684" w:rsidRPr="00457778">
                    <w:rPr>
                      <w:rFonts w:ascii="Times New Roman" w:eastAsia="Times New Roman" w:hAnsi="Times New Roman" w:cs="Times New Roman"/>
                      <w:color w:val="000000"/>
                      <w:sz w:val="24"/>
                      <w:szCs w:val="24"/>
                    </w:rPr>
                    <w:t>/202</w:t>
                  </w:r>
                  <w:r w:rsidRPr="00457778">
                    <w:rPr>
                      <w:rFonts w:ascii="Times New Roman" w:eastAsia="Times New Roman" w:hAnsi="Times New Roman" w:cs="Times New Roman"/>
                      <w:color w:val="000000"/>
                      <w:sz w:val="24"/>
                      <w:szCs w:val="24"/>
                    </w:rPr>
                    <w:t>1</w:t>
                  </w:r>
                </w:p>
              </w:tc>
            </w:tr>
            <w:tr w:rsidR="007A08DA" w:rsidRPr="00457778" w14:paraId="0F758340" w14:textId="77777777" w:rsidTr="000E4F0C">
              <w:trPr>
                <w:trHeight w:val="30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14:paraId="791304B7" w14:textId="77777777" w:rsidR="007A08DA" w:rsidRPr="00457778" w:rsidRDefault="007F611A" w:rsidP="007A08DA">
                  <w:pPr>
                    <w:spacing w:after="0" w:line="240" w:lineRule="auto"/>
                    <w:rPr>
                      <w:rFonts w:ascii="Times New Roman" w:eastAsia="Times New Roman" w:hAnsi="Times New Roman" w:cs="Times New Roman"/>
                      <w:color w:val="000000"/>
                    </w:rPr>
                  </w:pPr>
                  <w:r w:rsidRPr="00457778">
                    <w:rPr>
                      <w:rFonts w:ascii="Times New Roman" w:eastAsia="Times New Roman" w:hAnsi="Times New Roman" w:cs="Times New Roman"/>
                      <w:noProof/>
                      <w:color w:val="000000" w:themeColor="text1"/>
                      <w:sz w:val="24"/>
                      <w:szCs w:val="24"/>
                      <w:lang w:val="sq-AL" w:eastAsia="sq-AL"/>
                    </w:rPr>
                    <w:t>Timeliness</w:t>
                  </w:r>
                </w:p>
              </w:tc>
              <w:tc>
                <w:tcPr>
                  <w:tcW w:w="1430" w:type="dxa"/>
                  <w:tcBorders>
                    <w:top w:val="nil"/>
                    <w:left w:val="nil"/>
                    <w:bottom w:val="single" w:sz="4" w:space="0" w:color="auto"/>
                    <w:right w:val="single" w:sz="4" w:space="0" w:color="auto"/>
                  </w:tcBorders>
                  <w:shd w:val="clear" w:color="auto" w:fill="auto"/>
                  <w:noWrap/>
                  <w:vAlign w:val="bottom"/>
                  <w:hideMark/>
                </w:tcPr>
                <w:p w14:paraId="69A8E567" w14:textId="30619B8D" w:rsidR="007A08DA" w:rsidRPr="00457778" w:rsidRDefault="00BB4E9A" w:rsidP="007A08DA">
                  <w:pPr>
                    <w:spacing w:after="0" w:line="240" w:lineRule="auto"/>
                    <w:jc w:val="right"/>
                    <w:rPr>
                      <w:rFonts w:ascii="Times New Roman" w:eastAsia="Times New Roman" w:hAnsi="Times New Roman" w:cs="Times New Roman"/>
                      <w:color w:val="000000"/>
                    </w:rPr>
                  </w:pPr>
                  <w:r w:rsidRPr="00457778">
                    <w:rPr>
                      <w:rFonts w:ascii="Times New Roman" w:eastAsia="Times New Roman" w:hAnsi="Times New Roman" w:cs="Times New Roman"/>
                      <w:color w:val="000000"/>
                    </w:rPr>
                    <w:t>5</w:t>
                  </w:r>
                  <w:r w:rsidR="007A08DA" w:rsidRPr="00457778">
                    <w:rPr>
                      <w:rFonts w:ascii="Times New Roman" w:eastAsia="Times New Roman" w:hAnsi="Times New Roman" w:cs="Times New Roman"/>
                      <w:color w:val="000000"/>
                    </w:rPr>
                    <w:t>0</w:t>
                  </w:r>
                </w:p>
              </w:tc>
            </w:tr>
          </w:tbl>
          <w:p w14:paraId="2A38F822" w14:textId="77777777" w:rsidR="007A08DA" w:rsidRPr="00457778" w:rsidRDefault="007A08DA" w:rsidP="00CF7A88">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p>
        </w:tc>
      </w:tr>
      <w:tr w:rsidR="00473EF5" w:rsidRPr="00493D72" w14:paraId="59A41101" w14:textId="77777777" w:rsidTr="00EA1937">
        <w:trPr>
          <w:trHeight w:val="2780"/>
        </w:trPr>
        <w:tc>
          <w:tcPr>
            <w:tcW w:w="2371" w:type="dxa"/>
            <w:shd w:val="clear" w:color="auto" w:fill="FFFFCC"/>
            <w:noWrap/>
            <w:vAlign w:val="center"/>
            <w:hideMark/>
          </w:tcPr>
          <w:p w14:paraId="5327C738" w14:textId="77777777" w:rsidR="00473EF5" w:rsidRPr="00493D72" w:rsidRDefault="00473EF5" w:rsidP="00493D72">
            <w:pPr>
              <w:spacing w:after="0"/>
              <w:rPr>
                <w:rFonts w:ascii="Times New Roman" w:eastAsia="Times New Roman" w:hAnsi="Times New Roman" w:cs="Times New Roman"/>
                <w:bCs/>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 xml:space="preserve">14.2. </w:t>
            </w:r>
            <w:r w:rsidRPr="00493D72">
              <w:rPr>
                <w:rFonts w:ascii="Times New Roman" w:eastAsia="Times New Roman" w:hAnsi="Times New Roman" w:cs="Times New Roman"/>
                <w:bCs/>
                <w:noProof/>
                <w:color w:val="000000" w:themeColor="text1"/>
                <w:sz w:val="24"/>
                <w:szCs w:val="24"/>
                <w:lang w:val="sq-AL" w:eastAsia="sq-AL"/>
              </w:rPr>
              <w:t>Punctuality</w:t>
            </w:r>
          </w:p>
        </w:tc>
        <w:tc>
          <w:tcPr>
            <w:tcW w:w="8311" w:type="dxa"/>
            <w:shd w:val="clear" w:color="auto" w:fill="auto"/>
            <w:vAlign w:val="center"/>
          </w:tcPr>
          <w:p w14:paraId="3812A0DC" w14:textId="77777777" w:rsidR="00473EF5" w:rsidRPr="00671850" w:rsidRDefault="00DE15BC" w:rsidP="00CF7A88">
            <w:pPr>
              <w:spacing w:before="120" w:after="120" w:line="240" w:lineRule="auto"/>
              <w:ind w:left="101" w:right="86"/>
              <w:jc w:val="both"/>
              <w:rPr>
                <w:rFonts w:ascii="Times New Roman" w:hAnsi="Times New Roman" w:cs="Times New Roman"/>
                <w:sz w:val="24"/>
                <w:szCs w:val="24"/>
              </w:rPr>
            </w:pPr>
            <w:r w:rsidRPr="00671850">
              <w:rPr>
                <w:rFonts w:ascii="Times New Roman" w:hAnsi="Times New Roman" w:cs="Times New Roman"/>
                <w:sz w:val="24"/>
                <w:szCs w:val="24"/>
              </w:rPr>
              <w:t>The data of the Accommodation Establishments Survey are disseminated according to the publication calendar. The publication of Accommodation Establishments Survey has been punctuality in time to 100% of publications carried out over the years.</w:t>
            </w:r>
          </w:p>
          <w:tbl>
            <w:tblPr>
              <w:tblW w:w="3939" w:type="dxa"/>
              <w:tblLook w:val="04A0" w:firstRow="1" w:lastRow="0" w:firstColumn="1" w:lastColumn="0" w:noHBand="0" w:noVBand="1"/>
            </w:tblPr>
            <w:tblGrid>
              <w:gridCol w:w="2509"/>
              <w:gridCol w:w="1430"/>
            </w:tblGrid>
            <w:tr w:rsidR="00BB4E9A" w:rsidRPr="00671850" w14:paraId="41A6A198" w14:textId="77777777" w:rsidTr="000E4F0C">
              <w:trPr>
                <w:trHeight w:val="315"/>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1F8E1" w14:textId="77777777" w:rsidR="00BB4E9A" w:rsidRPr="00671850" w:rsidRDefault="00BB4E9A" w:rsidP="00F95525">
                  <w:pPr>
                    <w:spacing w:after="0" w:line="240" w:lineRule="auto"/>
                    <w:rPr>
                      <w:rFonts w:ascii="Times New Roman" w:eastAsia="Times New Roman" w:hAnsi="Times New Roman" w:cs="Times New Roman"/>
                      <w:color w:val="000000"/>
                      <w:sz w:val="24"/>
                      <w:szCs w:val="24"/>
                    </w:rPr>
                  </w:pPr>
                  <w:r w:rsidRPr="00671850">
                    <w:rPr>
                      <w:rFonts w:ascii="Times New Roman" w:eastAsia="Times New Roman" w:hAnsi="Times New Roman" w:cs="Times New Roman"/>
                      <w:color w:val="000000"/>
                      <w:sz w:val="24"/>
                      <w:szCs w:val="24"/>
                    </w:rPr>
                    <w:t>Reference period</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6FA5AB39" w14:textId="10775ACE" w:rsidR="00BB4E9A" w:rsidRPr="00671850" w:rsidRDefault="00BB4E9A" w:rsidP="00F95525">
                  <w:pPr>
                    <w:spacing w:after="0" w:line="240" w:lineRule="auto"/>
                    <w:jc w:val="right"/>
                    <w:rPr>
                      <w:rFonts w:ascii="Times New Roman" w:eastAsia="Times New Roman" w:hAnsi="Times New Roman" w:cs="Times New Roman"/>
                      <w:color w:val="000000"/>
                      <w:sz w:val="24"/>
                      <w:szCs w:val="24"/>
                    </w:rPr>
                  </w:pPr>
                  <w:r w:rsidRPr="00671850">
                    <w:rPr>
                      <w:rFonts w:ascii="Times New Roman" w:eastAsia="Times New Roman" w:hAnsi="Times New Roman" w:cs="Times New Roman"/>
                      <w:color w:val="000000"/>
                      <w:sz w:val="24"/>
                      <w:szCs w:val="24"/>
                    </w:rPr>
                    <w:t>12/31/20</w:t>
                  </w:r>
                  <w:r>
                    <w:rPr>
                      <w:rFonts w:ascii="Times New Roman" w:eastAsia="Times New Roman" w:hAnsi="Times New Roman" w:cs="Times New Roman"/>
                      <w:color w:val="000000"/>
                      <w:sz w:val="24"/>
                      <w:szCs w:val="24"/>
                    </w:rPr>
                    <w:t>20</w:t>
                  </w:r>
                </w:p>
              </w:tc>
            </w:tr>
            <w:tr w:rsidR="00BB4E9A" w:rsidRPr="00671850" w14:paraId="5C20CEA4" w14:textId="77777777" w:rsidTr="000E4F0C">
              <w:trPr>
                <w:trHeight w:val="315"/>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0920FAC" w14:textId="77777777" w:rsidR="00BB4E9A" w:rsidRPr="00671850" w:rsidRDefault="00BB4E9A" w:rsidP="00F95525">
                  <w:pPr>
                    <w:spacing w:after="0" w:line="240" w:lineRule="auto"/>
                    <w:rPr>
                      <w:rFonts w:ascii="Times New Roman" w:eastAsia="Times New Roman" w:hAnsi="Times New Roman" w:cs="Times New Roman"/>
                      <w:color w:val="000000"/>
                      <w:sz w:val="24"/>
                      <w:szCs w:val="24"/>
                    </w:rPr>
                  </w:pPr>
                  <w:r w:rsidRPr="00671850">
                    <w:rPr>
                      <w:rFonts w:ascii="Times New Roman" w:eastAsia="Times New Roman" w:hAnsi="Times New Roman" w:cs="Times New Roman"/>
                      <w:color w:val="000000"/>
                      <w:sz w:val="24"/>
                      <w:szCs w:val="24"/>
                    </w:rPr>
                    <w:t>Date of announcement</w:t>
                  </w:r>
                </w:p>
              </w:tc>
              <w:tc>
                <w:tcPr>
                  <w:tcW w:w="1430" w:type="dxa"/>
                  <w:tcBorders>
                    <w:top w:val="nil"/>
                    <w:left w:val="nil"/>
                    <w:bottom w:val="single" w:sz="4" w:space="0" w:color="auto"/>
                    <w:right w:val="single" w:sz="4" w:space="0" w:color="auto"/>
                  </w:tcBorders>
                  <w:shd w:val="clear" w:color="auto" w:fill="auto"/>
                  <w:noWrap/>
                  <w:vAlign w:val="center"/>
                  <w:hideMark/>
                </w:tcPr>
                <w:p w14:paraId="6E700FF3" w14:textId="20FD370A" w:rsidR="00BB4E9A" w:rsidRPr="00671850" w:rsidRDefault="00BB4E9A" w:rsidP="00F9552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r w:rsidRPr="00671850">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1</w:t>
                  </w:r>
                </w:p>
              </w:tc>
            </w:tr>
            <w:tr w:rsidR="00E51684" w:rsidRPr="00671850" w14:paraId="017B08C0" w14:textId="77777777" w:rsidTr="000E4F0C">
              <w:trPr>
                <w:trHeight w:val="315"/>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1A46309" w14:textId="77777777" w:rsidR="00E51684" w:rsidRPr="00671850" w:rsidRDefault="00E51684" w:rsidP="00F95525">
                  <w:pPr>
                    <w:spacing w:after="0" w:line="240" w:lineRule="auto"/>
                    <w:rPr>
                      <w:rFonts w:ascii="Times New Roman" w:eastAsia="Times New Roman" w:hAnsi="Times New Roman" w:cs="Times New Roman"/>
                      <w:color w:val="000000"/>
                      <w:sz w:val="24"/>
                      <w:szCs w:val="24"/>
                    </w:rPr>
                  </w:pPr>
                  <w:r w:rsidRPr="00671850">
                    <w:rPr>
                      <w:rFonts w:ascii="Times New Roman" w:eastAsia="Times New Roman" w:hAnsi="Times New Roman" w:cs="Times New Roman"/>
                      <w:color w:val="000000"/>
                      <w:sz w:val="24"/>
                      <w:szCs w:val="24"/>
                    </w:rPr>
                    <w:t>Date of publication</w:t>
                  </w:r>
                </w:p>
              </w:tc>
              <w:tc>
                <w:tcPr>
                  <w:tcW w:w="1430" w:type="dxa"/>
                  <w:tcBorders>
                    <w:top w:val="nil"/>
                    <w:left w:val="nil"/>
                    <w:bottom w:val="single" w:sz="4" w:space="0" w:color="auto"/>
                    <w:right w:val="single" w:sz="4" w:space="0" w:color="auto"/>
                  </w:tcBorders>
                  <w:shd w:val="clear" w:color="auto" w:fill="auto"/>
                  <w:noWrap/>
                  <w:vAlign w:val="center"/>
                  <w:hideMark/>
                </w:tcPr>
                <w:p w14:paraId="4A783AF8" w14:textId="48B72F14" w:rsidR="00E51684" w:rsidRPr="00671850" w:rsidRDefault="00BB4E9A" w:rsidP="00F9552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r w:rsidRPr="00671850">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1</w:t>
                  </w:r>
                </w:p>
              </w:tc>
            </w:tr>
            <w:tr w:rsidR="00671850" w:rsidRPr="00671850" w14:paraId="0A3D490D" w14:textId="77777777" w:rsidTr="000E4F0C">
              <w:trPr>
                <w:trHeight w:val="315"/>
              </w:trPr>
              <w:tc>
                <w:tcPr>
                  <w:tcW w:w="2509" w:type="dxa"/>
                  <w:tcBorders>
                    <w:top w:val="nil"/>
                    <w:left w:val="single" w:sz="4" w:space="0" w:color="auto"/>
                    <w:bottom w:val="single" w:sz="4" w:space="0" w:color="auto"/>
                    <w:right w:val="single" w:sz="4" w:space="0" w:color="auto"/>
                  </w:tcBorders>
                  <w:shd w:val="clear" w:color="auto" w:fill="auto"/>
                  <w:noWrap/>
                  <w:vAlign w:val="center"/>
                  <w:hideMark/>
                </w:tcPr>
                <w:p w14:paraId="680B5A41" w14:textId="77777777" w:rsidR="00E51684" w:rsidRPr="00671850" w:rsidRDefault="00E51684" w:rsidP="00F95525">
                  <w:pPr>
                    <w:spacing w:after="0" w:line="240" w:lineRule="auto"/>
                    <w:rPr>
                      <w:rFonts w:ascii="Times New Roman" w:eastAsia="Times New Roman" w:hAnsi="Times New Roman" w:cs="Times New Roman"/>
                      <w:color w:val="000000"/>
                      <w:sz w:val="24"/>
                      <w:szCs w:val="24"/>
                    </w:rPr>
                  </w:pPr>
                  <w:r w:rsidRPr="00671850">
                    <w:rPr>
                      <w:rFonts w:ascii="Times New Roman" w:eastAsia="Times New Roman" w:hAnsi="Times New Roman" w:cs="Times New Roman"/>
                      <w:color w:val="000000"/>
                      <w:sz w:val="24"/>
                      <w:szCs w:val="24"/>
                    </w:rPr>
                    <w:t>Time lag</w:t>
                  </w:r>
                </w:p>
              </w:tc>
              <w:tc>
                <w:tcPr>
                  <w:tcW w:w="1430" w:type="dxa"/>
                  <w:tcBorders>
                    <w:top w:val="nil"/>
                    <w:left w:val="nil"/>
                    <w:bottom w:val="single" w:sz="4" w:space="0" w:color="auto"/>
                    <w:right w:val="single" w:sz="4" w:space="0" w:color="auto"/>
                  </w:tcBorders>
                  <w:shd w:val="clear" w:color="auto" w:fill="auto"/>
                  <w:noWrap/>
                  <w:vAlign w:val="center"/>
                  <w:hideMark/>
                </w:tcPr>
                <w:p w14:paraId="16926BC6" w14:textId="77777777" w:rsidR="00E51684" w:rsidRPr="00671850" w:rsidRDefault="00E51684" w:rsidP="00F95525">
                  <w:pPr>
                    <w:spacing w:after="0" w:line="240" w:lineRule="auto"/>
                    <w:jc w:val="right"/>
                    <w:rPr>
                      <w:rFonts w:ascii="Times New Roman" w:eastAsia="Times New Roman" w:hAnsi="Times New Roman" w:cs="Times New Roman"/>
                      <w:color w:val="000000"/>
                      <w:sz w:val="24"/>
                      <w:szCs w:val="24"/>
                    </w:rPr>
                  </w:pPr>
                  <w:r w:rsidRPr="00671850">
                    <w:rPr>
                      <w:rFonts w:ascii="Times New Roman" w:eastAsia="Times New Roman" w:hAnsi="Times New Roman" w:cs="Times New Roman"/>
                      <w:color w:val="000000"/>
                      <w:sz w:val="24"/>
                      <w:szCs w:val="24"/>
                    </w:rPr>
                    <w:t>0</w:t>
                  </w:r>
                </w:p>
              </w:tc>
            </w:tr>
          </w:tbl>
          <w:p w14:paraId="6C281B16" w14:textId="77777777" w:rsidR="00F26663" w:rsidRPr="00F26663" w:rsidRDefault="00F26663" w:rsidP="00CF7A88">
            <w:pPr>
              <w:spacing w:before="120" w:after="120" w:line="240" w:lineRule="auto"/>
              <w:ind w:left="101" w:right="86"/>
              <w:jc w:val="both"/>
              <w:rPr>
                <w:rFonts w:ascii="Times New Roman" w:eastAsia="Times New Roman" w:hAnsi="Times New Roman" w:cs="Times New Roman"/>
                <w:noProof/>
                <w:color w:val="000000"/>
                <w:sz w:val="24"/>
                <w:szCs w:val="24"/>
                <w:highlight w:val="yellow"/>
                <w:lang w:val="sq-AL" w:eastAsia="sq-AL"/>
              </w:rPr>
            </w:pPr>
          </w:p>
        </w:tc>
      </w:tr>
      <w:tr w:rsidR="00F80D5E" w:rsidRPr="00493D72" w14:paraId="0EAA6FE0" w14:textId="77777777" w:rsidTr="006D535F">
        <w:trPr>
          <w:trHeight w:val="562"/>
        </w:trPr>
        <w:tc>
          <w:tcPr>
            <w:tcW w:w="0" w:type="auto"/>
            <w:gridSpan w:val="2"/>
            <w:shd w:val="clear" w:color="auto" w:fill="FBD4B4" w:themeFill="accent6" w:themeFillTint="66"/>
            <w:noWrap/>
            <w:vAlign w:val="center"/>
            <w:hideMark/>
          </w:tcPr>
          <w:p w14:paraId="062D3081" w14:textId="77777777" w:rsidR="00F80D5E" w:rsidRPr="00493D72" w:rsidRDefault="00F80D5E"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4" w:name="_Toc69202502"/>
            <w:r w:rsidRPr="00493D72">
              <w:rPr>
                <w:rFonts w:ascii="Times New Roman" w:eastAsia="Times New Roman" w:hAnsi="Times New Roman" w:cs="Times New Roman"/>
                <w:noProof/>
                <w:color w:val="000000" w:themeColor="text1"/>
                <w:sz w:val="24"/>
                <w:szCs w:val="24"/>
                <w:lang w:val="sq-AL" w:eastAsia="sq-AL"/>
              </w:rPr>
              <w:t xml:space="preserve">15. </w:t>
            </w:r>
            <w:r w:rsidR="00286BF7" w:rsidRPr="00493D72">
              <w:rPr>
                <w:rFonts w:ascii="Times New Roman" w:eastAsia="Times New Roman" w:hAnsi="Times New Roman" w:cs="Times New Roman"/>
                <w:noProof/>
                <w:color w:val="000000" w:themeColor="text1"/>
                <w:sz w:val="24"/>
                <w:szCs w:val="24"/>
                <w:lang w:val="sq-AL" w:eastAsia="sq-AL"/>
              </w:rPr>
              <w:t>Coherence and comparability</w:t>
            </w:r>
            <w:bookmarkEnd w:id="14"/>
          </w:p>
        </w:tc>
      </w:tr>
      <w:tr w:rsidR="00473EF5" w:rsidRPr="00493D72" w14:paraId="1C8B2664" w14:textId="77777777" w:rsidTr="00EA1937">
        <w:trPr>
          <w:trHeight w:val="800"/>
        </w:trPr>
        <w:tc>
          <w:tcPr>
            <w:tcW w:w="2371" w:type="dxa"/>
            <w:shd w:val="clear" w:color="auto" w:fill="FFFFCC"/>
            <w:noWrap/>
            <w:vAlign w:val="center"/>
            <w:hideMark/>
          </w:tcPr>
          <w:p w14:paraId="3B92A1E4"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15.1. Comparability - geographical</w:t>
            </w:r>
          </w:p>
        </w:tc>
        <w:tc>
          <w:tcPr>
            <w:tcW w:w="8311" w:type="dxa"/>
            <w:shd w:val="clear" w:color="auto" w:fill="auto"/>
            <w:vAlign w:val="center"/>
          </w:tcPr>
          <w:p w14:paraId="0359868B" w14:textId="77777777" w:rsidR="00E77874" w:rsidRPr="00E77874" w:rsidRDefault="00677E55" w:rsidP="00773871">
            <w:pPr>
              <w:spacing w:before="120" w:after="120" w:line="240" w:lineRule="auto"/>
              <w:ind w:left="101" w:right="86"/>
              <w:jc w:val="both"/>
              <w:rPr>
                <w:rFonts w:ascii="Times New Roman" w:eastAsia="Times New Roman" w:hAnsi="Times New Roman" w:cs="Times New Roman"/>
                <w:noProof/>
                <w:color w:val="000000"/>
                <w:sz w:val="24"/>
                <w:szCs w:val="24"/>
                <w:highlight w:val="yellow"/>
                <w:lang w:val="sq-AL" w:eastAsia="sq-AL"/>
              </w:rPr>
            </w:pPr>
            <w:r w:rsidRPr="00773871">
              <w:rPr>
                <w:rFonts w:ascii="Times New Roman" w:eastAsia="Times New Roman" w:hAnsi="Times New Roman" w:cs="Times New Roman"/>
                <w:noProof/>
                <w:color w:val="000000"/>
                <w:sz w:val="24"/>
                <w:szCs w:val="24"/>
                <w:lang w:val="sq-AL" w:eastAsia="sq-AL"/>
              </w:rPr>
              <w:t>Data is fully comparable.</w:t>
            </w:r>
            <w:r w:rsidR="00773871" w:rsidRPr="00773871">
              <w:rPr>
                <w:rFonts w:ascii="Times New Roman" w:eastAsia="Times New Roman" w:hAnsi="Times New Roman" w:cs="Times New Roman"/>
                <w:noProof/>
                <w:color w:val="000000"/>
                <w:sz w:val="24"/>
                <w:szCs w:val="24"/>
                <w:lang w:val="sq-AL" w:eastAsia="sq-AL"/>
              </w:rPr>
              <w:t xml:space="preserve"> </w:t>
            </w:r>
            <w:r w:rsidR="00E77874" w:rsidRPr="00773871">
              <w:rPr>
                <w:rFonts w:ascii="Times New Roman" w:eastAsia="Times New Roman" w:hAnsi="Times New Roman" w:cs="Times New Roman"/>
                <w:noProof/>
                <w:color w:val="000000"/>
                <w:sz w:val="24"/>
                <w:szCs w:val="24"/>
                <w:lang w:val="sq-AL" w:eastAsia="sq-AL"/>
              </w:rPr>
              <w:t>See 3.7</w:t>
            </w:r>
          </w:p>
        </w:tc>
      </w:tr>
      <w:tr w:rsidR="00473EF5" w:rsidRPr="00493D72" w14:paraId="3563F3DC" w14:textId="77777777" w:rsidTr="00EA1937">
        <w:trPr>
          <w:trHeight w:val="1601"/>
        </w:trPr>
        <w:tc>
          <w:tcPr>
            <w:tcW w:w="2371" w:type="dxa"/>
            <w:shd w:val="clear" w:color="auto" w:fill="FFFFCC"/>
            <w:noWrap/>
            <w:vAlign w:val="center"/>
            <w:hideMark/>
          </w:tcPr>
          <w:p w14:paraId="214C7E08"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15.2. Comparability - over time</w:t>
            </w:r>
          </w:p>
        </w:tc>
        <w:tc>
          <w:tcPr>
            <w:tcW w:w="8311"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46"/>
              <w:gridCol w:w="1167"/>
            </w:tblGrid>
            <w:tr w:rsidR="009E1A83" w:rsidRPr="00960526" w14:paraId="21A3913C" w14:textId="77777777" w:rsidTr="00B80314">
              <w:trPr>
                <w:trHeight w:val="397"/>
              </w:trPr>
              <w:tc>
                <w:tcPr>
                  <w:tcW w:w="0" w:type="auto"/>
                  <w:vAlign w:val="center"/>
                  <w:hideMark/>
                </w:tcPr>
                <w:p w14:paraId="0E8BB920" w14:textId="77777777" w:rsidR="009E1A83" w:rsidRPr="00960526" w:rsidRDefault="009E1A83" w:rsidP="00B80314">
                  <w:pPr>
                    <w:rPr>
                      <w:rFonts w:ascii="Times New Roman" w:eastAsia="Times New Roman" w:hAnsi="Times New Roman" w:cs="Times New Roman"/>
                      <w:color w:val="000000"/>
                      <w:sz w:val="24"/>
                      <w:szCs w:val="24"/>
                    </w:rPr>
                  </w:pPr>
                  <w:r w:rsidRPr="00960526">
                    <w:rPr>
                      <w:rFonts w:ascii="&amp;quot" w:eastAsia="Times New Roman" w:hAnsi="&amp;quot" w:cs="Times New Roman"/>
                      <w:color w:val="000000"/>
                      <w:sz w:val="24"/>
                      <w:szCs w:val="24"/>
                    </w:rPr>
                    <w:t>15.2.1 Hotels and similar accommodation (NACE 55.1)</w:t>
                  </w:r>
                </w:p>
              </w:tc>
              <w:tc>
                <w:tcPr>
                  <w:tcW w:w="0" w:type="auto"/>
                  <w:vAlign w:val="center"/>
                  <w:hideMark/>
                </w:tcPr>
                <w:p w14:paraId="2149A74A" w14:textId="77777777" w:rsidR="009E1A83" w:rsidRPr="00960526" w:rsidRDefault="009E1A83" w:rsidP="00B80314">
                  <w:pPr>
                    <w:spacing w:before="30" w:after="30"/>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See 3.8.1</w:t>
                  </w:r>
                </w:p>
              </w:tc>
            </w:tr>
            <w:tr w:rsidR="009E1A83" w:rsidRPr="00960526" w14:paraId="07C6F1D4" w14:textId="77777777" w:rsidTr="00B80314">
              <w:trPr>
                <w:trHeight w:val="397"/>
              </w:trPr>
              <w:tc>
                <w:tcPr>
                  <w:tcW w:w="0" w:type="auto"/>
                  <w:vAlign w:val="center"/>
                  <w:hideMark/>
                </w:tcPr>
                <w:p w14:paraId="1B076BFD" w14:textId="77777777" w:rsidR="009E1A83" w:rsidRPr="00960526" w:rsidRDefault="009E1A83" w:rsidP="00B80314">
                  <w:pPr>
                    <w:rPr>
                      <w:rFonts w:ascii="Times New Roman" w:eastAsia="Times New Roman" w:hAnsi="Times New Roman" w:cs="Times New Roman"/>
                      <w:color w:val="000000"/>
                      <w:sz w:val="24"/>
                      <w:szCs w:val="24"/>
                    </w:rPr>
                  </w:pPr>
                  <w:r w:rsidRPr="00960526">
                    <w:rPr>
                      <w:rFonts w:ascii="&amp;quot" w:eastAsia="Times New Roman" w:hAnsi="&amp;quot" w:cs="Times New Roman"/>
                      <w:color w:val="000000"/>
                      <w:sz w:val="24"/>
                      <w:szCs w:val="24"/>
                    </w:rPr>
                    <w:t>15.2.2 Holiday and other short-stay accommodation (NACE 55.2)</w:t>
                  </w:r>
                </w:p>
              </w:tc>
              <w:tc>
                <w:tcPr>
                  <w:tcW w:w="0" w:type="auto"/>
                  <w:vAlign w:val="center"/>
                  <w:hideMark/>
                </w:tcPr>
                <w:p w14:paraId="06C67D70" w14:textId="77777777" w:rsidR="009E1A83" w:rsidRPr="00960526" w:rsidRDefault="009E1A83" w:rsidP="00B80314">
                  <w:pPr>
                    <w:spacing w:before="30" w:after="30"/>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See 3.8.2</w:t>
                  </w:r>
                </w:p>
              </w:tc>
            </w:tr>
            <w:tr w:rsidR="009E1A83" w:rsidRPr="00960526" w14:paraId="671777D6" w14:textId="77777777" w:rsidTr="00B80314">
              <w:trPr>
                <w:trHeight w:val="397"/>
              </w:trPr>
              <w:tc>
                <w:tcPr>
                  <w:tcW w:w="0" w:type="auto"/>
                  <w:vAlign w:val="center"/>
                  <w:hideMark/>
                </w:tcPr>
                <w:p w14:paraId="76381812" w14:textId="77777777" w:rsidR="009E1A83" w:rsidRPr="00960526" w:rsidRDefault="009E1A83" w:rsidP="00B80314">
                  <w:pPr>
                    <w:rPr>
                      <w:rFonts w:ascii="Times New Roman" w:eastAsia="Times New Roman" w:hAnsi="Times New Roman" w:cs="Times New Roman"/>
                      <w:color w:val="000000"/>
                      <w:sz w:val="24"/>
                      <w:szCs w:val="24"/>
                    </w:rPr>
                  </w:pPr>
                  <w:r w:rsidRPr="00960526">
                    <w:rPr>
                      <w:rFonts w:ascii="&amp;quot" w:eastAsia="Times New Roman" w:hAnsi="&amp;quot" w:cs="Times New Roman"/>
                      <w:color w:val="000000"/>
                      <w:sz w:val="24"/>
                      <w:szCs w:val="24"/>
                    </w:rPr>
                    <w:t>15.2.3 Camping grounds, etc. (NACE 55.3)</w:t>
                  </w:r>
                </w:p>
              </w:tc>
              <w:tc>
                <w:tcPr>
                  <w:tcW w:w="0" w:type="auto"/>
                  <w:vAlign w:val="center"/>
                  <w:hideMark/>
                </w:tcPr>
                <w:p w14:paraId="6100645F" w14:textId="77777777" w:rsidR="009E1A83" w:rsidRPr="00960526" w:rsidRDefault="009E1A83" w:rsidP="00B80314">
                  <w:pPr>
                    <w:spacing w:before="30" w:after="30"/>
                    <w:rPr>
                      <w:rFonts w:ascii="Times New Roman" w:eastAsia="Times New Roman" w:hAnsi="Times New Roman" w:cs="Times New Roman"/>
                      <w:color w:val="000000"/>
                      <w:sz w:val="24"/>
                      <w:szCs w:val="24"/>
                    </w:rPr>
                  </w:pPr>
                  <w:r w:rsidRPr="00960526">
                    <w:rPr>
                      <w:rFonts w:ascii="Times New Roman" w:eastAsia="Times New Roman" w:hAnsi="Times New Roman" w:cs="Times New Roman"/>
                      <w:color w:val="000000"/>
                      <w:sz w:val="24"/>
                      <w:szCs w:val="24"/>
                    </w:rPr>
                    <w:t>See 3.8.3</w:t>
                  </w:r>
                </w:p>
              </w:tc>
            </w:tr>
          </w:tbl>
          <w:p w14:paraId="0A5D3918" w14:textId="77777777" w:rsidR="00473EF5" w:rsidRPr="009E1A83" w:rsidRDefault="00473EF5" w:rsidP="009E1A83">
            <w:pPr>
              <w:spacing w:before="120" w:after="120"/>
              <w:ind w:right="86"/>
              <w:jc w:val="both"/>
              <w:rPr>
                <w:noProof/>
                <w:color w:val="000000"/>
                <w:lang w:val="sq-AL" w:eastAsia="sq-AL"/>
              </w:rPr>
            </w:pPr>
          </w:p>
        </w:tc>
      </w:tr>
      <w:tr w:rsidR="0055408D" w:rsidRPr="00493D72" w14:paraId="0B368D7D" w14:textId="77777777" w:rsidTr="00EA1937">
        <w:trPr>
          <w:trHeight w:val="1160"/>
        </w:trPr>
        <w:tc>
          <w:tcPr>
            <w:tcW w:w="2371" w:type="dxa"/>
            <w:shd w:val="clear" w:color="auto" w:fill="FFFFCC"/>
            <w:noWrap/>
            <w:vAlign w:val="center"/>
            <w:hideMark/>
          </w:tcPr>
          <w:p w14:paraId="568F03DB" w14:textId="77777777" w:rsidR="0055408D" w:rsidRPr="00493D72" w:rsidRDefault="0055408D"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 xml:space="preserve">15.3. </w:t>
            </w:r>
            <w:r w:rsidR="00286BF7" w:rsidRPr="00493D72">
              <w:rPr>
                <w:rFonts w:ascii="Times New Roman" w:eastAsia="Times New Roman" w:hAnsi="Times New Roman" w:cs="Times New Roman"/>
                <w:noProof/>
                <w:color w:val="000000"/>
                <w:sz w:val="24"/>
                <w:szCs w:val="24"/>
                <w:lang w:val="sq-AL" w:eastAsia="sq-AL"/>
              </w:rPr>
              <w:t>Coherence - cross domain</w:t>
            </w:r>
          </w:p>
        </w:tc>
        <w:tc>
          <w:tcPr>
            <w:tcW w:w="8311" w:type="dxa"/>
            <w:shd w:val="clear" w:color="auto" w:fill="auto"/>
            <w:noWrap/>
            <w:vAlign w:val="center"/>
            <w:hideMark/>
          </w:tcPr>
          <w:p w14:paraId="4793C698" w14:textId="77777777" w:rsidR="0055408D" w:rsidRPr="00493D72" w:rsidRDefault="002A34A1" w:rsidP="002F2BB0">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T</w:t>
            </w:r>
            <w:r w:rsidRPr="002A34A1">
              <w:rPr>
                <w:rFonts w:ascii="Times New Roman" w:eastAsia="Times New Roman" w:hAnsi="Times New Roman" w:cs="Times New Roman"/>
                <w:noProof/>
                <w:color w:val="000000"/>
                <w:sz w:val="24"/>
                <w:szCs w:val="24"/>
                <w:lang w:val="sq-AL" w:eastAsia="sq-AL"/>
              </w:rPr>
              <w:t xml:space="preserve">here is no other source of similar data on capacity and </w:t>
            </w:r>
            <w:r>
              <w:rPr>
                <w:rFonts w:ascii="Times New Roman" w:eastAsia="Times New Roman" w:hAnsi="Times New Roman" w:cs="Times New Roman"/>
                <w:noProof/>
                <w:color w:val="000000"/>
                <w:sz w:val="24"/>
                <w:szCs w:val="24"/>
                <w:lang w:val="sq-AL" w:eastAsia="sq-AL"/>
              </w:rPr>
              <w:t>occupancy</w:t>
            </w:r>
            <w:r w:rsidRPr="002A34A1">
              <w:rPr>
                <w:rFonts w:ascii="Times New Roman" w:eastAsia="Times New Roman" w:hAnsi="Times New Roman" w:cs="Times New Roman"/>
                <w:noProof/>
                <w:color w:val="000000"/>
                <w:sz w:val="24"/>
                <w:szCs w:val="24"/>
                <w:lang w:val="sq-AL" w:eastAsia="sq-AL"/>
              </w:rPr>
              <w:t xml:space="preserve"> of accommodation </w:t>
            </w:r>
            <w:r>
              <w:rPr>
                <w:rFonts w:ascii="Times New Roman" w:eastAsia="Times New Roman" w:hAnsi="Times New Roman" w:cs="Times New Roman"/>
                <w:noProof/>
                <w:color w:val="000000"/>
                <w:sz w:val="24"/>
                <w:szCs w:val="24"/>
                <w:lang w:val="sq-AL" w:eastAsia="sq-AL"/>
              </w:rPr>
              <w:t>establishments</w:t>
            </w:r>
            <w:r w:rsidRPr="002A34A1">
              <w:rPr>
                <w:rFonts w:ascii="Times New Roman" w:eastAsia="Times New Roman" w:hAnsi="Times New Roman" w:cs="Times New Roman"/>
                <w:noProof/>
                <w:color w:val="000000"/>
                <w:sz w:val="24"/>
                <w:szCs w:val="24"/>
                <w:lang w:val="sq-AL" w:eastAsia="sq-AL"/>
              </w:rPr>
              <w:t xml:space="preserve"> with which comparisons or imputations can be made</w:t>
            </w:r>
            <w:r>
              <w:rPr>
                <w:rFonts w:ascii="Times New Roman" w:eastAsia="Times New Roman" w:hAnsi="Times New Roman" w:cs="Times New Roman"/>
                <w:noProof/>
                <w:color w:val="000000"/>
                <w:sz w:val="24"/>
                <w:szCs w:val="24"/>
                <w:lang w:val="sq-AL" w:eastAsia="sq-AL"/>
              </w:rPr>
              <w:t>.</w:t>
            </w:r>
          </w:p>
        </w:tc>
      </w:tr>
      <w:tr w:rsidR="00473EF5" w:rsidRPr="00493D72" w14:paraId="061C2AA4" w14:textId="77777777" w:rsidTr="00EA1937">
        <w:trPr>
          <w:trHeight w:val="710"/>
        </w:trPr>
        <w:tc>
          <w:tcPr>
            <w:tcW w:w="2371" w:type="dxa"/>
            <w:shd w:val="clear" w:color="auto" w:fill="FFFFCC"/>
            <w:noWrap/>
            <w:vAlign w:val="center"/>
            <w:hideMark/>
          </w:tcPr>
          <w:p w14:paraId="46DEA6D6"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15.4. Coherence - internal</w:t>
            </w:r>
          </w:p>
        </w:tc>
        <w:tc>
          <w:tcPr>
            <w:tcW w:w="8311" w:type="dxa"/>
            <w:shd w:val="clear" w:color="auto" w:fill="auto"/>
            <w:vAlign w:val="center"/>
          </w:tcPr>
          <w:p w14:paraId="66B342F2" w14:textId="77777777" w:rsidR="00473EF5" w:rsidRPr="00493D72" w:rsidRDefault="00DB35D6" w:rsidP="002F2BB0">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DB35D6">
              <w:rPr>
                <w:rFonts w:ascii="Times New Roman" w:eastAsia="Times New Roman" w:hAnsi="Times New Roman" w:cs="Times New Roman"/>
                <w:noProof/>
                <w:color w:val="000000"/>
                <w:sz w:val="24"/>
                <w:szCs w:val="24"/>
                <w:lang w:val="sq-AL" w:eastAsia="sq-AL"/>
              </w:rPr>
              <w:t>Coherence between annual and monthly data: Full Coherence</w:t>
            </w:r>
          </w:p>
        </w:tc>
      </w:tr>
      <w:tr w:rsidR="00473EF5" w:rsidRPr="00493D72" w14:paraId="403FB12D" w14:textId="77777777" w:rsidTr="00EA1937">
        <w:trPr>
          <w:trHeight w:val="2870"/>
        </w:trPr>
        <w:tc>
          <w:tcPr>
            <w:tcW w:w="2371" w:type="dxa"/>
            <w:shd w:val="clear" w:color="auto" w:fill="FBD4B4" w:themeFill="accent6" w:themeFillTint="66"/>
            <w:vAlign w:val="center"/>
            <w:hideMark/>
          </w:tcPr>
          <w:p w14:paraId="019C7833" w14:textId="77777777" w:rsidR="00473EF5" w:rsidRPr="00493D72" w:rsidRDefault="00473EF5"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5" w:name="_Toc69202503"/>
            <w:r w:rsidRPr="00493D72">
              <w:rPr>
                <w:rFonts w:ascii="Times New Roman" w:eastAsia="Times New Roman" w:hAnsi="Times New Roman" w:cs="Times New Roman"/>
                <w:noProof/>
                <w:color w:val="000000" w:themeColor="text1"/>
                <w:sz w:val="24"/>
                <w:szCs w:val="24"/>
                <w:lang w:val="sq-AL" w:eastAsia="sq-AL"/>
              </w:rPr>
              <w:t>16.</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Cost and burden</w:t>
            </w:r>
            <w:bookmarkEnd w:id="15"/>
          </w:p>
        </w:tc>
        <w:tc>
          <w:tcPr>
            <w:tcW w:w="8311" w:type="dxa"/>
            <w:shd w:val="clear" w:color="auto" w:fill="auto"/>
            <w:vAlign w:val="center"/>
          </w:tcPr>
          <w:p w14:paraId="6ABBECDB" w14:textId="77777777" w:rsidR="00F16D42" w:rsidRPr="00D1061A" w:rsidRDefault="00F16D42" w:rsidP="00F16D42">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D1061A">
              <w:rPr>
                <w:rFonts w:ascii="Times New Roman" w:eastAsia="Times New Roman" w:hAnsi="Times New Roman" w:cs="Times New Roman"/>
                <w:noProof/>
                <w:color w:val="000000"/>
                <w:sz w:val="24"/>
                <w:szCs w:val="24"/>
                <w:lang w:val="sq-AL" w:eastAsia="sq-AL"/>
              </w:rPr>
              <w:t>The staff working for the Accommodation Establishments Survey are:</w:t>
            </w:r>
          </w:p>
          <w:p w14:paraId="467A6D78" w14:textId="77777777" w:rsidR="00F16D42" w:rsidRPr="00D1061A" w:rsidRDefault="00F16D42" w:rsidP="00FD6D34">
            <w:pPr>
              <w:pStyle w:val="ListParagraph"/>
              <w:numPr>
                <w:ilvl w:val="0"/>
                <w:numId w:val="37"/>
              </w:numPr>
              <w:jc w:val="both"/>
              <w:rPr>
                <w:noProof/>
                <w:lang w:val="sq-AL" w:eastAsia="sq-AL"/>
              </w:rPr>
            </w:pPr>
            <w:r w:rsidRPr="00D1061A">
              <w:rPr>
                <w:noProof/>
                <w:lang w:val="sq-AL" w:eastAsia="sq-AL"/>
              </w:rPr>
              <w:t>1 specialist in the field of tourism (Short-Term Statistics Unit);</w:t>
            </w:r>
          </w:p>
          <w:p w14:paraId="61C666B7" w14:textId="77777777" w:rsidR="00F16D42" w:rsidRPr="00D1061A" w:rsidRDefault="00F16D42" w:rsidP="00FD6D34">
            <w:pPr>
              <w:pStyle w:val="ListParagraph"/>
              <w:numPr>
                <w:ilvl w:val="0"/>
                <w:numId w:val="37"/>
              </w:numPr>
              <w:jc w:val="both"/>
              <w:rPr>
                <w:noProof/>
                <w:lang w:val="sq-AL" w:eastAsia="sq-AL"/>
              </w:rPr>
            </w:pPr>
            <w:r w:rsidRPr="00D1061A">
              <w:rPr>
                <w:noProof/>
                <w:lang w:val="sq-AL" w:eastAsia="sq-AL"/>
              </w:rPr>
              <w:t>1 methodology specialist (Methodology Unit)</w:t>
            </w:r>
          </w:p>
          <w:p w14:paraId="135F5752" w14:textId="77777777" w:rsidR="00F16D42" w:rsidRPr="00D1061A" w:rsidRDefault="00F16D42" w:rsidP="00FD6D34">
            <w:pPr>
              <w:pStyle w:val="ListParagraph"/>
              <w:numPr>
                <w:ilvl w:val="0"/>
                <w:numId w:val="37"/>
              </w:numPr>
              <w:jc w:val="both"/>
              <w:rPr>
                <w:noProof/>
                <w:lang w:val="sq-AL" w:eastAsia="sq-AL"/>
              </w:rPr>
            </w:pPr>
            <w:r w:rsidRPr="00D1061A">
              <w:rPr>
                <w:noProof/>
                <w:lang w:val="sq-AL" w:eastAsia="sq-AL"/>
              </w:rPr>
              <w:t>1 IT specialist (Computer Software Development Unit)</w:t>
            </w:r>
          </w:p>
          <w:p w14:paraId="4BA59A4A" w14:textId="77777777" w:rsidR="00F16D42" w:rsidRPr="00D1061A" w:rsidRDefault="00F16D42" w:rsidP="00FD6D34">
            <w:pPr>
              <w:pStyle w:val="ListParagraph"/>
              <w:numPr>
                <w:ilvl w:val="0"/>
                <w:numId w:val="37"/>
              </w:numPr>
              <w:jc w:val="both"/>
              <w:rPr>
                <w:noProof/>
                <w:lang w:val="sq-AL" w:eastAsia="sq-AL"/>
              </w:rPr>
            </w:pPr>
            <w:r w:rsidRPr="00D1061A">
              <w:rPr>
                <w:noProof/>
                <w:lang w:val="sq-AL" w:eastAsia="sq-AL"/>
              </w:rPr>
              <w:t>1 specialist (Data Collection Planning and Management Unit)</w:t>
            </w:r>
          </w:p>
          <w:p w14:paraId="2B1CD6E3" w14:textId="77777777" w:rsidR="00F16D42" w:rsidRPr="00D1061A" w:rsidRDefault="00F16D42" w:rsidP="00FD6D34">
            <w:pPr>
              <w:pStyle w:val="ListParagraph"/>
              <w:numPr>
                <w:ilvl w:val="0"/>
                <w:numId w:val="37"/>
              </w:numPr>
              <w:jc w:val="both"/>
              <w:rPr>
                <w:noProof/>
                <w:lang w:val="sq-AL" w:eastAsia="sq-AL"/>
              </w:rPr>
            </w:pPr>
            <w:r w:rsidRPr="00D1061A">
              <w:rPr>
                <w:noProof/>
                <w:lang w:val="sq-AL" w:eastAsia="sq-AL"/>
              </w:rPr>
              <w:t xml:space="preserve">14 </w:t>
            </w:r>
            <w:r w:rsidR="00FD6D34" w:rsidRPr="00D1061A">
              <w:rPr>
                <w:noProof/>
                <w:lang w:val="sq-AL" w:eastAsia="sq-AL"/>
              </w:rPr>
              <w:t xml:space="preserve">staff </w:t>
            </w:r>
            <w:r w:rsidRPr="00D1061A">
              <w:rPr>
                <w:noProof/>
                <w:lang w:val="sq-AL" w:eastAsia="sq-AL"/>
              </w:rPr>
              <w:t>from the Regional Offices,</w:t>
            </w:r>
          </w:p>
          <w:p w14:paraId="0C6C7951" w14:textId="77777777" w:rsidR="00F16D42" w:rsidRPr="00D1061A" w:rsidRDefault="00F16D42" w:rsidP="00FD6D34">
            <w:pPr>
              <w:pStyle w:val="ListParagraph"/>
              <w:numPr>
                <w:ilvl w:val="0"/>
                <w:numId w:val="37"/>
              </w:numPr>
              <w:jc w:val="both"/>
              <w:rPr>
                <w:noProof/>
                <w:lang w:val="sq-AL" w:eastAsia="sq-AL"/>
              </w:rPr>
            </w:pPr>
            <w:r w:rsidRPr="00D1061A">
              <w:rPr>
                <w:noProof/>
                <w:lang w:val="sq-AL" w:eastAsia="sq-AL"/>
              </w:rPr>
              <w:t xml:space="preserve">20 </w:t>
            </w:r>
            <w:r w:rsidR="00FD6D34" w:rsidRPr="00D1061A">
              <w:rPr>
                <w:noProof/>
                <w:lang w:val="sq-AL" w:eastAsia="sq-AL"/>
              </w:rPr>
              <w:t xml:space="preserve">enumerators </w:t>
            </w:r>
            <w:r w:rsidRPr="00D1061A">
              <w:rPr>
                <w:noProof/>
                <w:lang w:val="sq-AL" w:eastAsia="sq-AL"/>
              </w:rPr>
              <w:t>staff,</w:t>
            </w:r>
          </w:p>
          <w:p w14:paraId="3876CA67" w14:textId="6F9054AB" w:rsidR="00473EF5" w:rsidRPr="00FD6D34" w:rsidRDefault="00F16D42" w:rsidP="006D535F">
            <w:pPr>
              <w:pStyle w:val="ListParagraph"/>
              <w:numPr>
                <w:ilvl w:val="0"/>
                <w:numId w:val="37"/>
              </w:numPr>
              <w:spacing w:after="240"/>
              <w:jc w:val="both"/>
              <w:rPr>
                <w:noProof/>
                <w:color w:val="000000"/>
                <w:lang w:val="sq-AL" w:eastAsia="sq-AL"/>
              </w:rPr>
            </w:pPr>
            <w:r w:rsidRPr="00D1061A">
              <w:rPr>
                <w:noProof/>
                <w:lang w:val="sq-AL" w:eastAsia="sq-AL"/>
              </w:rPr>
              <w:t xml:space="preserve">1 </w:t>
            </w:r>
            <w:r w:rsidR="002360D2">
              <w:rPr>
                <w:noProof/>
                <w:color w:val="000000"/>
                <w:lang w:val="sq-AL" w:eastAsia="sq-AL"/>
              </w:rPr>
              <w:t>controller / o</w:t>
            </w:r>
            <w:r w:rsidRPr="00D1061A">
              <w:rPr>
                <w:noProof/>
                <w:color w:val="000000"/>
                <w:lang w:val="sq-AL" w:eastAsia="sq-AL"/>
              </w:rPr>
              <w:t>perator (Data Collection Coordination Unit)</w:t>
            </w:r>
          </w:p>
        </w:tc>
      </w:tr>
      <w:tr w:rsidR="007B3C66" w:rsidRPr="00493D72" w14:paraId="613A6B0E" w14:textId="77777777" w:rsidTr="00EF7A42">
        <w:trPr>
          <w:trHeight w:val="562"/>
        </w:trPr>
        <w:tc>
          <w:tcPr>
            <w:tcW w:w="0" w:type="auto"/>
            <w:gridSpan w:val="2"/>
            <w:shd w:val="clear" w:color="auto" w:fill="FBD4B4" w:themeFill="accent6" w:themeFillTint="66"/>
            <w:vAlign w:val="center"/>
            <w:hideMark/>
          </w:tcPr>
          <w:p w14:paraId="667CEA6E" w14:textId="77777777" w:rsidR="007B3C66" w:rsidRPr="00493D72" w:rsidRDefault="007B3C66" w:rsidP="00493D72">
            <w:pPr>
              <w:pStyle w:val="Heading1"/>
              <w:spacing w:before="0"/>
              <w:rPr>
                <w:rFonts w:ascii="Times New Roman" w:eastAsia="Times New Roman" w:hAnsi="Times New Roman" w:cs="Times New Roman"/>
                <w:noProof/>
                <w:color w:val="000000"/>
                <w:sz w:val="24"/>
                <w:szCs w:val="24"/>
                <w:lang w:val="sq-AL" w:eastAsia="sq-AL"/>
              </w:rPr>
            </w:pPr>
            <w:bookmarkStart w:id="16" w:name="_Toc69202504"/>
            <w:r w:rsidRPr="00493D72">
              <w:rPr>
                <w:rFonts w:ascii="Times New Roman" w:eastAsia="Times New Roman" w:hAnsi="Times New Roman" w:cs="Times New Roman"/>
                <w:noProof/>
                <w:color w:val="000000" w:themeColor="text1"/>
                <w:sz w:val="24"/>
                <w:szCs w:val="24"/>
                <w:lang w:val="sq-AL" w:eastAsia="sq-AL"/>
              </w:rPr>
              <w:t>17.</w:t>
            </w:r>
            <w:r w:rsidRPr="00493D72">
              <w:rPr>
                <w:rFonts w:ascii="Times New Roman" w:eastAsia="Times New Roman" w:hAnsi="Times New Roman" w:cs="Times New Roman"/>
                <w:b w:val="0"/>
                <w:bCs w:val="0"/>
                <w:noProof/>
                <w:color w:val="000000"/>
                <w:sz w:val="24"/>
                <w:szCs w:val="24"/>
                <w:lang w:val="sq-AL" w:eastAsia="sq-AL"/>
              </w:rPr>
              <w:t xml:space="preserve"> </w:t>
            </w:r>
            <w:r w:rsidR="00531088" w:rsidRPr="00493D72">
              <w:rPr>
                <w:rFonts w:ascii="Times New Roman" w:eastAsia="Times New Roman" w:hAnsi="Times New Roman" w:cs="Times New Roman"/>
                <w:noProof/>
                <w:color w:val="000000" w:themeColor="text1"/>
                <w:sz w:val="24"/>
                <w:szCs w:val="24"/>
                <w:lang w:val="sq-AL" w:eastAsia="sq-AL"/>
              </w:rPr>
              <w:t>Data revision</w:t>
            </w:r>
            <w:bookmarkEnd w:id="16"/>
            <w:r w:rsidRPr="00493D72">
              <w:rPr>
                <w:rFonts w:ascii="Times New Roman" w:eastAsia="Times New Roman" w:hAnsi="Times New Roman" w:cs="Times New Roman"/>
                <w:noProof/>
                <w:color w:val="000000"/>
                <w:sz w:val="24"/>
                <w:szCs w:val="24"/>
                <w:lang w:val="sq-AL" w:eastAsia="sq-AL"/>
              </w:rPr>
              <w:t> </w:t>
            </w:r>
          </w:p>
        </w:tc>
      </w:tr>
      <w:tr w:rsidR="00473EF5" w:rsidRPr="00493D72" w14:paraId="722A928A" w14:textId="77777777" w:rsidTr="00EA1937">
        <w:trPr>
          <w:trHeight w:val="3185"/>
        </w:trPr>
        <w:tc>
          <w:tcPr>
            <w:tcW w:w="2371" w:type="dxa"/>
            <w:shd w:val="clear" w:color="auto" w:fill="FFFFCC"/>
            <w:noWrap/>
            <w:vAlign w:val="center"/>
            <w:hideMark/>
          </w:tcPr>
          <w:p w14:paraId="1929E3E9"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17.1. Data revision - policy</w:t>
            </w:r>
          </w:p>
        </w:tc>
        <w:tc>
          <w:tcPr>
            <w:tcW w:w="8311"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73"/>
              <w:gridCol w:w="6540"/>
            </w:tblGrid>
            <w:tr w:rsidR="009E1A83" w14:paraId="09787CDB" w14:textId="77777777" w:rsidTr="00B80314">
              <w:tc>
                <w:tcPr>
                  <w:tcW w:w="0" w:type="auto"/>
                  <w:vAlign w:val="center"/>
                  <w:hideMark/>
                </w:tcPr>
                <w:p w14:paraId="771923BA" w14:textId="77777777" w:rsidR="009E1A83" w:rsidRPr="00DB35D6" w:rsidRDefault="009E1A83" w:rsidP="00B80314">
                  <w:pPr>
                    <w:rPr>
                      <w:rFonts w:ascii="Times New Roman" w:hAnsi="Times New Roman" w:cs="Times New Roman"/>
                      <w:color w:val="000000"/>
                      <w:sz w:val="24"/>
                      <w:szCs w:val="24"/>
                    </w:rPr>
                  </w:pPr>
                  <w:r w:rsidRPr="00DB35D6">
                    <w:rPr>
                      <w:rFonts w:ascii="Times New Roman" w:hAnsi="Times New Roman" w:cs="Times New Roman"/>
                      <w:color w:val="000000"/>
                      <w:sz w:val="24"/>
                      <w:szCs w:val="24"/>
                    </w:rPr>
                    <w:t>17.1.1 Capacity </w:t>
                  </w:r>
                </w:p>
              </w:tc>
              <w:tc>
                <w:tcPr>
                  <w:tcW w:w="0" w:type="auto"/>
                  <w:hideMark/>
                </w:tcPr>
                <w:p w14:paraId="1A7C9EB8" w14:textId="77777777" w:rsidR="009E1A83" w:rsidRPr="005B77F3" w:rsidRDefault="009E1A83" w:rsidP="005B77F3">
                  <w:pPr>
                    <w:pStyle w:val="ListParagraph"/>
                    <w:ind w:left="360"/>
                    <w:jc w:val="both"/>
                    <w:rPr>
                      <w:color w:val="000000"/>
                    </w:rPr>
                  </w:pPr>
                  <w:r w:rsidRPr="005B77F3">
                    <w:rPr>
                      <w:color w:val="000000"/>
                    </w:rPr>
                    <w:t xml:space="preserve">Revision policy of is done in accordance with general revision policy and errors treatment policy introduced by INSTAT in the links below: </w:t>
                  </w:r>
                </w:p>
                <w:p w14:paraId="39E1ADF8" w14:textId="77777777" w:rsidR="009E1A83" w:rsidRPr="009E1A83" w:rsidRDefault="00D3798F" w:rsidP="009E1A83">
                  <w:pPr>
                    <w:pStyle w:val="ListParagraph"/>
                    <w:numPr>
                      <w:ilvl w:val="1"/>
                      <w:numId w:val="12"/>
                    </w:numPr>
                    <w:jc w:val="both"/>
                    <w:rPr>
                      <w:rStyle w:val="Hyperlink"/>
                      <w:noProof/>
                      <w:color w:val="000000"/>
                      <w:u w:val="none"/>
                      <w:lang w:val="sq-AL" w:eastAsia="sq-AL"/>
                    </w:rPr>
                  </w:pPr>
                  <w:hyperlink r:id="rId29" w:history="1">
                    <w:r w:rsidR="009E1A83" w:rsidRPr="009E1A83">
                      <w:rPr>
                        <w:rStyle w:val="Hyperlink"/>
                        <w:noProof/>
                        <w:lang w:val="sq-AL" w:eastAsia="sq-AL"/>
                      </w:rPr>
                      <w:t>Revision Policy</w:t>
                    </w:r>
                  </w:hyperlink>
                </w:p>
                <w:p w14:paraId="21DBD49E" w14:textId="77777777" w:rsidR="009E1A83" w:rsidRPr="009E1A83" w:rsidRDefault="00D3798F" w:rsidP="009E1A83">
                  <w:pPr>
                    <w:pStyle w:val="ListParagraph"/>
                    <w:numPr>
                      <w:ilvl w:val="1"/>
                      <w:numId w:val="12"/>
                    </w:numPr>
                    <w:jc w:val="both"/>
                    <w:rPr>
                      <w:noProof/>
                      <w:color w:val="000000"/>
                      <w:lang w:val="sq-AL" w:eastAsia="sq-AL"/>
                    </w:rPr>
                  </w:pPr>
                  <w:hyperlink r:id="rId30" w:history="1">
                    <w:r w:rsidR="009E1A83" w:rsidRPr="009E1A83">
                      <w:rPr>
                        <w:rStyle w:val="Hyperlink"/>
                        <w:noProof/>
                        <w:lang w:val="sq-AL" w:eastAsia="sq-AL"/>
                      </w:rPr>
                      <w:t>Errors Treatment Policy</w:t>
                    </w:r>
                  </w:hyperlink>
                </w:p>
              </w:tc>
            </w:tr>
            <w:tr w:rsidR="009E1A83" w14:paraId="6A3FE454" w14:textId="77777777" w:rsidTr="00B80314">
              <w:tc>
                <w:tcPr>
                  <w:tcW w:w="0" w:type="auto"/>
                  <w:vAlign w:val="center"/>
                  <w:hideMark/>
                </w:tcPr>
                <w:p w14:paraId="6E5A8DA9" w14:textId="77777777" w:rsidR="009E1A83" w:rsidRPr="00DB35D6" w:rsidRDefault="009E1A83" w:rsidP="00B80314">
                  <w:pPr>
                    <w:rPr>
                      <w:rFonts w:ascii="Times New Roman" w:hAnsi="Times New Roman" w:cs="Times New Roman"/>
                      <w:color w:val="000000"/>
                      <w:sz w:val="24"/>
                      <w:szCs w:val="24"/>
                    </w:rPr>
                  </w:pPr>
                  <w:r w:rsidRPr="00DB35D6">
                    <w:rPr>
                      <w:rFonts w:ascii="Times New Roman" w:hAnsi="Times New Roman" w:cs="Times New Roman"/>
                      <w:color w:val="000000"/>
                      <w:sz w:val="24"/>
                      <w:szCs w:val="24"/>
                    </w:rPr>
                    <w:t>17.1.2 Occupancy </w:t>
                  </w:r>
                </w:p>
              </w:tc>
              <w:tc>
                <w:tcPr>
                  <w:tcW w:w="0" w:type="auto"/>
                  <w:hideMark/>
                </w:tcPr>
                <w:p w14:paraId="22F97DC3" w14:textId="77777777" w:rsidR="009E1A83" w:rsidRPr="009E1A83" w:rsidRDefault="009E1A83" w:rsidP="009E1A83">
                  <w:pPr>
                    <w:pStyle w:val="ListParagraph"/>
                    <w:ind w:left="360"/>
                    <w:jc w:val="both"/>
                    <w:rPr>
                      <w:noProof/>
                      <w:color w:val="000000"/>
                      <w:lang w:val="sq-AL" w:eastAsia="sq-AL"/>
                    </w:rPr>
                  </w:pPr>
                  <w:r w:rsidRPr="00DB35D6">
                    <w:rPr>
                      <w:color w:val="000000"/>
                    </w:rPr>
                    <w:t xml:space="preserve">Revision policy of is done in accordance with general revision policy and errors treatment policy introduced by INSTAT in the links below: </w:t>
                  </w:r>
                </w:p>
                <w:p w14:paraId="585A74EF" w14:textId="77777777" w:rsidR="009E1A83" w:rsidRPr="009E1A83" w:rsidRDefault="00D3798F" w:rsidP="009E1A83">
                  <w:pPr>
                    <w:pStyle w:val="ListParagraph"/>
                    <w:numPr>
                      <w:ilvl w:val="1"/>
                      <w:numId w:val="12"/>
                    </w:numPr>
                    <w:jc w:val="both"/>
                    <w:rPr>
                      <w:rStyle w:val="Hyperlink"/>
                      <w:noProof/>
                      <w:color w:val="000000"/>
                      <w:u w:val="none"/>
                      <w:lang w:val="sq-AL" w:eastAsia="sq-AL"/>
                    </w:rPr>
                  </w:pPr>
                  <w:hyperlink r:id="rId31" w:history="1">
                    <w:r w:rsidR="009E1A83" w:rsidRPr="009E1A83">
                      <w:rPr>
                        <w:rStyle w:val="Hyperlink"/>
                        <w:noProof/>
                        <w:lang w:val="sq-AL" w:eastAsia="sq-AL"/>
                      </w:rPr>
                      <w:t>Revision Policy</w:t>
                    </w:r>
                  </w:hyperlink>
                </w:p>
                <w:p w14:paraId="2144DF86" w14:textId="77777777" w:rsidR="009E1A83" w:rsidRPr="009E1A83" w:rsidRDefault="00D3798F" w:rsidP="009E1A83">
                  <w:pPr>
                    <w:pStyle w:val="ListParagraph"/>
                    <w:numPr>
                      <w:ilvl w:val="1"/>
                      <w:numId w:val="12"/>
                    </w:numPr>
                    <w:jc w:val="both"/>
                    <w:rPr>
                      <w:noProof/>
                      <w:color w:val="000000"/>
                      <w:lang w:val="sq-AL" w:eastAsia="sq-AL"/>
                    </w:rPr>
                  </w:pPr>
                  <w:hyperlink r:id="rId32" w:history="1">
                    <w:r w:rsidR="009E1A83" w:rsidRPr="009E1A83">
                      <w:rPr>
                        <w:rStyle w:val="Hyperlink"/>
                        <w:noProof/>
                        <w:lang w:val="sq-AL" w:eastAsia="sq-AL"/>
                      </w:rPr>
                      <w:t>Errors Treatment Policy</w:t>
                    </w:r>
                  </w:hyperlink>
                </w:p>
              </w:tc>
            </w:tr>
          </w:tbl>
          <w:p w14:paraId="302763C0" w14:textId="77777777" w:rsidR="00473EF5" w:rsidRPr="00972F4C" w:rsidRDefault="00473EF5" w:rsidP="009E1A83">
            <w:pPr>
              <w:spacing w:before="120" w:after="120" w:line="240" w:lineRule="auto"/>
              <w:ind w:right="86"/>
              <w:jc w:val="both"/>
              <w:rPr>
                <w:noProof/>
                <w:color w:val="000000"/>
                <w:lang w:val="sq-AL" w:eastAsia="sq-AL"/>
              </w:rPr>
            </w:pPr>
          </w:p>
        </w:tc>
      </w:tr>
      <w:tr w:rsidR="00473EF5" w:rsidRPr="00493D72" w14:paraId="3F7FE88C" w14:textId="77777777" w:rsidTr="00EA1937">
        <w:trPr>
          <w:trHeight w:val="5480"/>
        </w:trPr>
        <w:tc>
          <w:tcPr>
            <w:tcW w:w="2371" w:type="dxa"/>
            <w:shd w:val="clear" w:color="auto" w:fill="FFFFCC"/>
            <w:noWrap/>
            <w:vAlign w:val="center"/>
            <w:hideMark/>
          </w:tcPr>
          <w:p w14:paraId="6644B782"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17.2. Data revision - practise</w:t>
            </w:r>
          </w:p>
        </w:tc>
        <w:tc>
          <w:tcPr>
            <w:tcW w:w="8311"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2"/>
              <w:gridCol w:w="6391"/>
            </w:tblGrid>
            <w:tr w:rsidR="009E1A83" w:rsidRPr="00DB35D6" w14:paraId="58229333" w14:textId="77777777" w:rsidTr="009C46E3">
              <w:tc>
                <w:tcPr>
                  <w:tcW w:w="1050" w:type="pct"/>
                  <w:hideMark/>
                </w:tcPr>
                <w:p w14:paraId="7540EE55" w14:textId="77777777" w:rsidR="009E1A83" w:rsidRPr="00DB35D6" w:rsidRDefault="009E1A83" w:rsidP="009E1A83">
                  <w:pPr>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17.2.1 Capacity </w:t>
                  </w:r>
                </w:p>
              </w:tc>
              <w:tc>
                <w:tcPr>
                  <w:tcW w:w="3900" w:type="pct"/>
                  <w:hideMark/>
                </w:tcPr>
                <w:p w14:paraId="57043999" w14:textId="77777777" w:rsidR="009E1A83" w:rsidRPr="00DB35D6" w:rsidRDefault="009E1A83" w:rsidP="0042346C">
                  <w:pPr>
                    <w:spacing w:before="30" w:after="30" w:line="276" w:lineRule="auto"/>
                    <w:jc w:val="both"/>
                    <w:rPr>
                      <w:rFonts w:ascii="Times New Roman" w:eastAsia="Times New Roman" w:hAnsi="Times New Roman" w:cs="Times New Roman"/>
                      <w:color w:val="000000"/>
                      <w:sz w:val="24"/>
                      <w:szCs w:val="24"/>
                    </w:rPr>
                  </w:pPr>
                  <w:r w:rsidRPr="003D64B2">
                    <w:rPr>
                      <w:rFonts w:ascii="Times New Roman" w:eastAsia="Times New Roman" w:hAnsi="Times New Roman" w:cs="Times New Roman"/>
                      <w:color w:val="000000"/>
                      <w:sz w:val="24"/>
                      <w:szCs w:val="24"/>
                    </w:rPr>
                    <w:t xml:space="preserve">After the cut-off date of the period, the respective </w:t>
                  </w:r>
                  <w:r w:rsidR="006437AB" w:rsidRPr="003D64B2">
                    <w:rPr>
                      <w:rFonts w:ascii="Times New Roman" w:eastAsia="Times New Roman" w:hAnsi="Times New Roman" w:cs="Times New Roman"/>
                      <w:color w:val="000000"/>
                      <w:sz w:val="24"/>
                      <w:szCs w:val="24"/>
                    </w:rPr>
                    <w:t xml:space="preserve">period </w:t>
                  </w:r>
                  <w:r w:rsidRPr="003D64B2">
                    <w:rPr>
                      <w:rFonts w:ascii="Times New Roman" w:eastAsia="Times New Roman" w:hAnsi="Times New Roman" w:cs="Times New Roman"/>
                      <w:color w:val="000000"/>
                      <w:sz w:val="24"/>
                      <w:szCs w:val="24"/>
                    </w:rPr>
                    <w:t>will remain subject to revisions</w:t>
                  </w:r>
                  <w:r>
                    <w:rPr>
                      <w:rFonts w:ascii="Times New Roman" w:eastAsia="Times New Roman" w:hAnsi="Times New Roman" w:cs="Times New Roman"/>
                      <w:color w:val="000000"/>
                      <w:sz w:val="24"/>
                      <w:szCs w:val="24"/>
                    </w:rPr>
                    <w:t xml:space="preserve"> and</w:t>
                  </w:r>
                  <w:r w:rsidRPr="003D64B2">
                    <w:rPr>
                      <w:rFonts w:ascii="Times New Roman" w:eastAsia="Times New Roman" w:hAnsi="Times New Roman" w:cs="Times New Roman"/>
                      <w:color w:val="000000"/>
                      <w:sz w:val="24"/>
                      <w:szCs w:val="24"/>
                    </w:rPr>
                    <w:t xml:space="preserve"> may be revised subject to provision of more updated information from respondents</w:t>
                  </w:r>
                  <w:r>
                    <w:rPr>
                      <w:rFonts w:ascii="Times New Roman" w:eastAsia="Times New Roman" w:hAnsi="Times New Roman" w:cs="Times New Roman"/>
                      <w:color w:val="000000"/>
                      <w:sz w:val="24"/>
                      <w:szCs w:val="24"/>
                    </w:rPr>
                    <w:t xml:space="preserve">, </w:t>
                  </w:r>
                  <w:r w:rsidRPr="003D64B2">
                    <w:rPr>
                      <w:rFonts w:ascii="Times New Roman" w:eastAsia="Times New Roman" w:hAnsi="Times New Roman" w:cs="Times New Roman"/>
                      <w:color w:val="000000"/>
                      <w:sz w:val="24"/>
                      <w:szCs w:val="24"/>
                    </w:rPr>
                    <w:t xml:space="preserve">should </w:t>
                  </w:r>
                  <w:r>
                    <w:rPr>
                      <w:rFonts w:ascii="Times New Roman" w:eastAsia="Times New Roman" w:hAnsi="Times New Roman" w:cs="Times New Roman"/>
                      <w:color w:val="000000"/>
                      <w:sz w:val="24"/>
                      <w:szCs w:val="24"/>
                    </w:rPr>
                    <w:t xml:space="preserve">to </w:t>
                  </w:r>
                  <w:r w:rsidRPr="003D64B2">
                    <w:rPr>
                      <w:rFonts w:ascii="Times New Roman" w:eastAsia="Times New Roman" w:hAnsi="Times New Roman" w:cs="Times New Roman"/>
                      <w:color w:val="000000"/>
                      <w:sz w:val="24"/>
                      <w:szCs w:val="24"/>
                    </w:rPr>
                    <w:t xml:space="preserve">new methodological changes be introduced. </w:t>
                  </w:r>
                  <w:r w:rsidRPr="00304CA4">
                    <w:rPr>
                      <w:rFonts w:ascii="Times New Roman" w:eastAsia="Times New Roman" w:hAnsi="Times New Roman" w:cs="Times New Roman"/>
                      <w:color w:val="000000"/>
                      <w:sz w:val="24"/>
                      <w:szCs w:val="24"/>
                    </w:rPr>
                    <w:t xml:space="preserve">Revision of the previous </w:t>
                  </w:r>
                  <w:r>
                    <w:rPr>
                      <w:rFonts w:ascii="Times New Roman" w:eastAsia="Times New Roman" w:hAnsi="Times New Roman" w:cs="Times New Roman"/>
                      <w:color w:val="000000"/>
                      <w:sz w:val="24"/>
                      <w:szCs w:val="24"/>
                    </w:rPr>
                    <w:t xml:space="preserve">quarter is possible during each </w:t>
                  </w:r>
                  <w:r w:rsidRPr="00304CA4">
                    <w:rPr>
                      <w:rFonts w:ascii="Times New Roman" w:eastAsia="Times New Roman" w:hAnsi="Times New Roman" w:cs="Times New Roman"/>
                      <w:color w:val="000000"/>
                      <w:sz w:val="24"/>
                      <w:szCs w:val="24"/>
                    </w:rPr>
                    <w:t>quarter and adjustments can be made at th</w:t>
                  </w:r>
                  <w:r>
                    <w:rPr>
                      <w:rFonts w:ascii="Times New Roman" w:eastAsia="Times New Roman" w:hAnsi="Times New Roman" w:cs="Times New Roman"/>
                      <w:color w:val="000000"/>
                      <w:sz w:val="24"/>
                      <w:szCs w:val="24"/>
                    </w:rPr>
                    <w:t xml:space="preserve">e end of each year for the four quarters. </w:t>
                  </w:r>
                  <w:r w:rsidRPr="003D64B2">
                    <w:rPr>
                      <w:rFonts w:ascii="Times New Roman" w:eastAsia="Times New Roman" w:hAnsi="Times New Roman" w:cs="Times New Roman"/>
                      <w:color w:val="000000"/>
                      <w:sz w:val="24"/>
                      <w:szCs w:val="24"/>
                    </w:rPr>
                    <w:t>The latter would be considered so as to avoid break in series.</w:t>
                  </w:r>
                </w:p>
              </w:tc>
            </w:tr>
            <w:tr w:rsidR="009E1A83" w:rsidRPr="00DB35D6" w14:paraId="07B1475B" w14:textId="77777777" w:rsidTr="00B80314">
              <w:tc>
                <w:tcPr>
                  <w:tcW w:w="1050" w:type="pct"/>
                  <w:vAlign w:val="center"/>
                  <w:hideMark/>
                </w:tcPr>
                <w:p w14:paraId="4175E597" w14:textId="77777777" w:rsidR="009E1A83" w:rsidRPr="00DB35D6" w:rsidRDefault="009E1A83" w:rsidP="00B80314">
                  <w:pPr>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17.2.2 Occupancy </w:t>
                  </w:r>
                </w:p>
              </w:tc>
              <w:tc>
                <w:tcPr>
                  <w:tcW w:w="3900" w:type="pct"/>
                  <w:hideMark/>
                </w:tcPr>
                <w:p w14:paraId="62F5B86E" w14:textId="77777777" w:rsidR="009E1A83" w:rsidRPr="00DB35D6" w:rsidRDefault="006437AB" w:rsidP="0042346C">
                  <w:pPr>
                    <w:spacing w:before="30" w:after="30" w:line="276" w:lineRule="auto"/>
                    <w:jc w:val="both"/>
                    <w:rPr>
                      <w:rFonts w:ascii="Times New Roman" w:eastAsia="Times New Roman" w:hAnsi="Times New Roman" w:cs="Times New Roman"/>
                      <w:color w:val="000000"/>
                      <w:sz w:val="24"/>
                      <w:szCs w:val="24"/>
                    </w:rPr>
                  </w:pPr>
                  <w:r w:rsidRPr="003D64B2">
                    <w:rPr>
                      <w:rFonts w:ascii="Times New Roman" w:eastAsia="Times New Roman" w:hAnsi="Times New Roman" w:cs="Times New Roman"/>
                      <w:color w:val="000000"/>
                      <w:sz w:val="24"/>
                      <w:szCs w:val="24"/>
                    </w:rPr>
                    <w:t>After the cut-off date of the period, the respective period will remain subject to revisions</w:t>
                  </w:r>
                  <w:r>
                    <w:rPr>
                      <w:rFonts w:ascii="Times New Roman" w:eastAsia="Times New Roman" w:hAnsi="Times New Roman" w:cs="Times New Roman"/>
                      <w:color w:val="000000"/>
                      <w:sz w:val="24"/>
                      <w:szCs w:val="24"/>
                    </w:rPr>
                    <w:t xml:space="preserve"> and</w:t>
                  </w:r>
                  <w:r w:rsidRPr="003D64B2">
                    <w:rPr>
                      <w:rFonts w:ascii="Times New Roman" w:eastAsia="Times New Roman" w:hAnsi="Times New Roman" w:cs="Times New Roman"/>
                      <w:color w:val="000000"/>
                      <w:sz w:val="24"/>
                      <w:szCs w:val="24"/>
                    </w:rPr>
                    <w:t xml:space="preserve"> may be revised subject to provision of more updated information from respondents</w:t>
                  </w:r>
                  <w:r>
                    <w:rPr>
                      <w:rFonts w:ascii="Times New Roman" w:eastAsia="Times New Roman" w:hAnsi="Times New Roman" w:cs="Times New Roman"/>
                      <w:color w:val="000000"/>
                      <w:sz w:val="24"/>
                      <w:szCs w:val="24"/>
                    </w:rPr>
                    <w:t xml:space="preserve">, </w:t>
                  </w:r>
                  <w:r w:rsidRPr="003D64B2">
                    <w:rPr>
                      <w:rFonts w:ascii="Times New Roman" w:eastAsia="Times New Roman" w:hAnsi="Times New Roman" w:cs="Times New Roman"/>
                      <w:color w:val="000000"/>
                      <w:sz w:val="24"/>
                      <w:szCs w:val="24"/>
                    </w:rPr>
                    <w:t xml:space="preserve">should </w:t>
                  </w:r>
                  <w:r>
                    <w:rPr>
                      <w:rFonts w:ascii="Times New Roman" w:eastAsia="Times New Roman" w:hAnsi="Times New Roman" w:cs="Times New Roman"/>
                      <w:color w:val="000000"/>
                      <w:sz w:val="24"/>
                      <w:szCs w:val="24"/>
                    </w:rPr>
                    <w:t xml:space="preserve">to </w:t>
                  </w:r>
                  <w:r w:rsidRPr="003D64B2">
                    <w:rPr>
                      <w:rFonts w:ascii="Times New Roman" w:eastAsia="Times New Roman" w:hAnsi="Times New Roman" w:cs="Times New Roman"/>
                      <w:color w:val="000000"/>
                      <w:sz w:val="24"/>
                      <w:szCs w:val="24"/>
                    </w:rPr>
                    <w:t xml:space="preserve">new methodological changes be introduced. </w:t>
                  </w:r>
                  <w:r w:rsidRPr="00304CA4">
                    <w:rPr>
                      <w:rFonts w:ascii="Times New Roman" w:eastAsia="Times New Roman" w:hAnsi="Times New Roman" w:cs="Times New Roman"/>
                      <w:color w:val="000000"/>
                      <w:sz w:val="24"/>
                      <w:szCs w:val="24"/>
                    </w:rPr>
                    <w:t xml:space="preserve">Revision of the previous </w:t>
                  </w:r>
                  <w:r>
                    <w:rPr>
                      <w:rFonts w:ascii="Times New Roman" w:eastAsia="Times New Roman" w:hAnsi="Times New Roman" w:cs="Times New Roman"/>
                      <w:color w:val="000000"/>
                      <w:sz w:val="24"/>
                      <w:szCs w:val="24"/>
                    </w:rPr>
                    <w:t xml:space="preserve">quarter is possible during each </w:t>
                  </w:r>
                  <w:r w:rsidRPr="00304CA4">
                    <w:rPr>
                      <w:rFonts w:ascii="Times New Roman" w:eastAsia="Times New Roman" w:hAnsi="Times New Roman" w:cs="Times New Roman"/>
                      <w:color w:val="000000"/>
                      <w:sz w:val="24"/>
                      <w:szCs w:val="24"/>
                    </w:rPr>
                    <w:t>quarter and adjustments can be made at th</w:t>
                  </w:r>
                  <w:r>
                    <w:rPr>
                      <w:rFonts w:ascii="Times New Roman" w:eastAsia="Times New Roman" w:hAnsi="Times New Roman" w:cs="Times New Roman"/>
                      <w:color w:val="000000"/>
                      <w:sz w:val="24"/>
                      <w:szCs w:val="24"/>
                    </w:rPr>
                    <w:t xml:space="preserve">e end of each year for the four quarters. </w:t>
                  </w:r>
                  <w:r w:rsidRPr="003D64B2">
                    <w:rPr>
                      <w:rFonts w:ascii="Times New Roman" w:eastAsia="Times New Roman" w:hAnsi="Times New Roman" w:cs="Times New Roman"/>
                      <w:color w:val="000000"/>
                      <w:sz w:val="24"/>
                      <w:szCs w:val="24"/>
                    </w:rPr>
                    <w:t>The latter would be considered so as to avoid break in series.</w:t>
                  </w:r>
                </w:p>
              </w:tc>
            </w:tr>
          </w:tbl>
          <w:p w14:paraId="370B170C" w14:textId="77777777" w:rsidR="00473EF5" w:rsidRPr="00AF41EC" w:rsidRDefault="00473EF5" w:rsidP="00493D72">
            <w:pPr>
              <w:spacing w:after="0"/>
              <w:rPr>
                <w:rFonts w:ascii="Times New Roman" w:eastAsia="Times New Roman" w:hAnsi="Times New Roman" w:cs="Times New Roman"/>
                <w:noProof/>
                <w:color w:val="000000"/>
                <w:sz w:val="24"/>
                <w:szCs w:val="24"/>
                <w:lang w:val="sq-AL" w:eastAsia="sq-AL"/>
              </w:rPr>
            </w:pPr>
          </w:p>
        </w:tc>
      </w:tr>
      <w:tr w:rsidR="003A26F6" w:rsidRPr="00493D72" w14:paraId="5DC70EE3" w14:textId="77777777" w:rsidTr="00493D72">
        <w:trPr>
          <w:trHeight w:val="567"/>
        </w:trPr>
        <w:tc>
          <w:tcPr>
            <w:tcW w:w="0" w:type="auto"/>
            <w:gridSpan w:val="2"/>
            <w:shd w:val="clear" w:color="auto" w:fill="FBD4B4" w:themeFill="accent6" w:themeFillTint="66"/>
            <w:vAlign w:val="center"/>
            <w:hideMark/>
          </w:tcPr>
          <w:p w14:paraId="29091DC0" w14:textId="77777777" w:rsidR="003A26F6" w:rsidRPr="00493D72" w:rsidRDefault="003A26F6" w:rsidP="00493D72">
            <w:pPr>
              <w:pStyle w:val="Heading1"/>
              <w:spacing w:before="0"/>
              <w:rPr>
                <w:rFonts w:ascii="Times New Roman" w:eastAsia="Times New Roman" w:hAnsi="Times New Roman" w:cs="Times New Roman"/>
                <w:noProof/>
                <w:color w:val="000000"/>
                <w:sz w:val="24"/>
                <w:szCs w:val="24"/>
                <w:lang w:val="sq-AL" w:eastAsia="sq-AL"/>
              </w:rPr>
            </w:pPr>
            <w:bookmarkStart w:id="17" w:name="_Toc69202505"/>
            <w:r w:rsidRPr="00493D72">
              <w:rPr>
                <w:rFonts w:ascii="Times New Roman" w:eastAsia="Times New Roman" w:hAnsi="Times New Roman" w:cs="Times New Roman"/>
                <w:b w:val="0"/>
                <w:bCs w:val="0"/>
                <w:noProof/>
                <w:color w:val="000000"/>
                <w:sz w:val="24"/>
                <w:szCs w:val="24"/>
                <w:lang w:val="sq-AL" w:eastAsia="sq-AL"/>
              </w:rPr>
              <w:lastRenderedPageBreak/>
              <w:t xml:space="preserve">18. </w:t>
            </w:r>
            <w:r w:rsidR="00531088" w:rsidRPr="00493D72">
              <w:rPr>
                <w:rFonts w:ascii="Times New Roman" w:eastAsia="Times New Roman" w:hAnsi="Times New Roman" w:cs="Times New Roman"/>
                <w:noProof/>
                <w:color w:val="000000" w:themeColor="text1"/>
                <w:sz w:val="24"/>
                <w:szCs w:val="24"/>
                <w:lang w:val="sq-AL" w:eastAsia="sq-AL"/>
              </w:rPr>
              <w:t>Statistical processing</w:t>
            </w:r>
            <w:bookmarkEnd w:id="17"/>
            <w:r w:rsidRPr="00493D72">
              <w:rPr>
                <w:rFonts w:ascii="Times New Roman" w:eastAsia="Times New Roman" w:hAnsi="Times New Roman" w:cs="Times New Roman"/>
                <w:noProof/>
                <w:color w:val="000000"/>
                <w:sz w:val="24"/>
                <w:szCs w:val="24"/>
                <w:lang w:val="sq-AL" w:eastAsia="sq-AL"/>
              </w:rPr>
              <w:t> </w:t>
            </w:r>
          </w:p>
        </w:tc>
      </w:tr>
      <w:tr w:rsidR="00473EF5" w:rsidRPr="00493D72" w14:paraId="2BB8C938" w14:textId="77777777" w:rsidTr="00EA1937">
        <w:trPr>
          <w:trHeight w:val="1619"/>
        </w:trPr>
        <w:tc>
          <w:tcPr>
            <w:tcW w:w="2371" w:type="dxa"/>
            <w:shd w:val="clear" w:color="auto" w:fill="FFFFCC"/>
            <w:vAlign w:val="center"/>
            <w:hideMark/>
          </w:tcPr>
          <w:p w14:paraId="389306E3" w14:textId="77777777" w:rsidR="00473EF5" w:rsidRPr="00493D72" w:rsidRDefault="00473EF5" w:rsidP="00493D72">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18.1. Source data </w:t>
            </w:r>
          </w:p>
        </w:tc>
        <w:tc>
          <w:tcPr>
            <w:tcW w:w="8311" w:type="dxa"/>
            <w:shd w:val="clear" w:color="auto" w:fill="auto"/>
            <w:vAlign w:val="center"/>
          </w:tcPr>
          <w:p w14:paraId="7B7C05EF" w14:textId="77777777" w:rsidR="009E1A83" w:rsidRPr="00DB35D6" w:rsidRDefault="009E1A83" w:rsidP="009E1A83">
            <w:pPr>
              <w:spacing w:before="30" w:after="30" w:line="240" w:lineRule="auto"/>
              <w:rPr>
                <w:rFonts w:ascii="Times New Roman" w:eastAsia="Times New Roman" w:hAnsi="Times New Roman" w:cs="Times New Roman"/>
                <w:color w:val="000000"/>
                <w:sz w:val="24"/>
                <w:szCs w:val="24"/>
              </w:rPr>
            </w:pPr>
            <w:r w:rsidRPr="00DB35D6">
              <w:rPr>
                <w:rFonts w:ascii="Times New Roman" w:eastAsia="Times New Roman" w:hAnsi="Times New Roman" w:cs="Times New Roman"/>
                <w:b/>
                <w:bCs/>
                <w:color w:val="000000"/>
                <w:sz w:val="24"/>
                <w:szCs w:val="24"/>
              </w:rPr>
              <w:t>18.1.1 Source data</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99"/>
              <w:gridCol w:w="3214"/>
            </w:tblGrid>
            <w:tr w:rsidR="009E1A83" w:rsidRPr="00DB35D6" w14:paraId="5D2CA7C2" w14:textId="77777777" w:rsidTr="00B80314">
              <w:tc>
                <w:tcPr>
                  <w:tcW w:w="3019" w:type="pct"/>
                  <w:vAlign w:val="center"/>
                  <w:hideMark/>
                </w:tcPr>
                <w:p w14:paraId="5FFC8900" w14:textId="77777777" w:rsidR="009E1A83" w:rsidRPr="00DB35D6" w:rsidRDefault="009E1A83" w:rsidP="0042346C">
                  <w:pPr>
                    <w:spacing w:line="276" w:lineRule="auto"/>
                    <w:jc w:val="both"/>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18.1.1.1 Source data</w:t>
                  </w:r>
                </w:p>
              </w:tc>
              <w:tc>
                <w:tcPr>
                  <w:tcW w:w="1981" w:type="pct"/>
                  <w:hideMark/>
                </w:tcPr>
                <w:p w14:paraId="7620A37B" w14:textId="77777777" w:rsidR="009E1A83" w:rsidRPr="00DB35D6" w:rsidRDefault="009E1A83" w:rsidP="0042346C">
                  <w:pPr>
                    <w:spacing w:line="276" w:lineRule="auto"/>
                    <w:jc w:val="both"/>
                    <w:rPr>
                      <w:rFonts w:ascii="Times New Roman" w:eastAsia="Times New Roman" w:hAnsi="Times New Roman" w:cs="Times New Roman"/>
                      <w:color w:val="000000"/>
                      <w:sz w:val="24"/>
                      <w:szCs w:val="24"/>
                    </w:rPr>
                  </w:pPr>
                  <w:r>
                    <w:rPr>
                      <w:rFonts w:ascii="&amp;quot" w:eastAsia="Times New Roman" w:hAnsi="&amp;quot" w:cs="Times New Roman"/>
                      <w:color w:val="000000"/>
                      <w:sz w:val="24"/>
                      <w:szCs w:val="24"/>
                    </w:rPr>
                    <w:t>Sample survey</w:t>
                  </w:r>
                </w:p>
              </w:tc>
            </w:tr>
            <w:tr w:rsidR="009E1A83" w:rsidRPr="00DB35D6" w14:paraId="3A32A61B" w14:textId="77777777" w:rsidTr="00B80314">
              <w:tc>
                <w:tcPr>
                  <w:tcW w:w="3019" w:type="pct"/>
                  <w:vAlign w:val="center"/>
                  <w:hideMark/>
                </w:tcPr>
                <w:p w14:paraId="152CA3E8" w14:textId="77777777" w:rsidR="009E1A83" w:rsidRPr="00DB35D6" w:rsidRDefault="009E1A83" w:rsidP="0042346C">
                  <w:pPr>
                    <w:spacing w:line="276" w:lineRule="auto"/>
                    <w:jc w:val="both"/>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18.1.1.2 Name of data collection in national language</w:t>
                  </w:r>
                </w:p>
              </w:tc>
              <w:tc>
                <w:tcPr>
                  <w:tcW w:w="1981" w:type="pct"/>
                  <w:hideMark/>
                </w:tcPr>
                <w:p w14:paraId="6C98BA5E" w14:textId="77777777" w:rsidR="009E1A83" w:rsidRPr="00DB35D6" w:rsidRDefault="009E1A83" w:rsidP="0042346C">
                  <w:pPr>
                    <w:spacing w:before="30" w:after="30" w:line="276" w:lineRule="auto"/>
                    <w:jc w:val="both"/>
                    <w:rPr>
                      <w:rFonts w:ascii="Times New Roman" w:eastAsia="Times New Roman" w:hAnsi="Times New Roman" w:cs="Times New Roman"/>
                      <w:color w:val="000000"/>
                      <w:sz w:val="24"/>
                      <w:szCs w:val="24"/>
                    </w:rPr>
                  </w:pPr>
                  <w:r w:rsidRPr="00DB35D6">
                    <w:rPr>
                      <w:rFonts w:ascii="Times New Roman" w:eastAsia="Times New Roman" w:hAnsi="Times New Roman" w:cs="Times New Roman"/>
                      <w:color w:val="000000"/>
                      <w:sz w:val="24"/>
                      <w:szCs w:val="24"/>
                    </w:rPr>
                    <w:t>Anketa e Strukturave Akomoduese</w:t>
                  </w:r>
                </w:p>
              </w:tc>
            </w:tr>
            <w:tr w:rsidR="009E1A83" w:rsidRPr="00DB35D6" w14:paraId="1233D92B" w14:textId="77777777" w:rsidTr="00B80314">
              <w:tc>
                <w:tcPr>
                  <w:tcW w:w="3019" w:type="pct"/>
                  <w:vAlign w:val="center"/>
                  <w:hideMark/>
                </w:tcPr>
                <w:p w14:paraId="441B1A52" w14:textId="77777777" w:rsidR="009E1A83" w:rsidRPr="00DB35D6" w:rsidRDefault="009E1A83" w:rsidP="0042346C">
                  <w:pPr>
                    <w:spacing w:line="276" w:lineRule="auto"/>
                    <w:jc w:val="both"/>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18.1.1.3 Name of data collection in English</w:t>
                  </w:r>
                </w:p>
              </w:tc>
              <w:tc>
                <w:tcPr>
                  <w:tcW w:w="1981" w:type="pct"/>
                  <w:hideMark/>
                </w:tcPr>
                <w:p w14:paraId="5ECDA4B0" w14:textId="77777777" w:rsidR="009E1A83" w:rsidRPr="00DB35D6" w:rsidRDefault="009E1A83" w:rsidP="0042346C">
                  <w:pPr>
                    <w:spacing w:before="30" w:after="30" w:line="276" w:lineRule="auto"/>
                    <w:jc w:val="both"/>
                    <w:rPr>
                      <w:rFonts w:ascii="Times New Roman" w:eastAsia="Times New Roman" w:hAnsi="Times New Roman" w:cs="Times New Roman"/>
                      <w:color w:val="000000"/>
                      <w:sz w:val="24"/>
                      <w:szCs w:val="24"/>
                    </w:rPr>
                  </w:pPr>
                  <w:r w:rsidRPr="00DB35D6">
                    <w:rPr>
                      <w:rFonts w:ascii="Times New Roman" w:eastAsia="Times New Roman" w:hAnsi="Times New Roman" w:cs="Times New Roman"/>
                      <w:color w:val="000000"/>
                      <w:sz w:val="24"/>
                      <w:szCs w:val="24"/>
                    </w:rPr>
                    <w:t xml:space="preserve">Accommodation </w:t>
                  </w:r>
                  <w:r>
                    <w:rPr>
                      <w:rFonts w:ascii="Times New Roman" w:eastAsia="Times New Roman" w:hAnsi="Times New Roman" w:cs="Times New Roman"/>
                      <w:color w:val="000000"/>
                      <w:sz w:val="24"/>
                      <w:szCs w:val="24"/>
                    </w:rPr>
                    <w:t>Establishments</w:t>
                  </w:r>
                  <w:r w:rsidRPr="00DB35D6">
                    <w:rPr>
                      <w:rFonts w:ascii="Times New Roman" w:eastAsia="Times New Roman" w:hAnsi="Times New Roman" w:cs="Times New Roman"/>
                      <w:color w:val="000000"/>
                      <w:sz w:val="24"/>
                      <w:szCs w:val="24"/>
                    </w:rPr>
                    <w:t xml:space="preserve"> Survey</w:t>
                  </w:r>
                </w:p>
              </w:tc>
            </w:tr>
            <w:tr w:rsidR="009E1A83" w:rsidRPr="00DB35D6" w14:paraId="0E485750" w14:textId="77777777" w:rsidTr="00B80314">
              <w:tc>
                <w:tcPr>
                  <w:tcW w:w="3019" w:type="pct"/>
                  <w:vAlign w:val="center"/>
                  <w:hideMark/>
                </w:tcPr>
                <w:p w14:paraId="6A1F094E" w14:textId="77777777" w:rsidR="009E1A83" w:rsidRPr="00DB35D6" w:rsidRDefault="009E1A83" w:rsidP="0042346C">
                  <w:pPr>
                    <w:spacing w:line="276" w:lineRule="auto"/>
                    <w:jc w:val="both"/>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18.1.1.4 Additional comments, if any (e.g. differences per NACE class, use of statistical estimation techniques)</w:t>
                  </w:r>
                </w:p>
              </w:tc>
              <w:tc>
                <w:tcPr>
                  <w:tcW w:w="1981" w:type="pct"/>
                  <w:hideMark/>
                </w:tcPr>
                <w:p w14:paraId="43B4E880" w14:textId="77777777" w:rsidR="009E1A83" w:rsidRPr="00DB35D6" w:rsidRDefault="009E1A83" w:rsidP="0042346C">
                  <w:pPr>
                    <w:spacing w:line="276" w:lineRule="auto"/>
                    <w:jc w:val="both"/>
                    <w:rPr>
                      <w:rFonts w:ascii="Times New Roman" w:eastAsia="Times New Roman" w:hAnsi="Times New Roman" w:cs="Times New Roman"/>
                      <w:color w:val="000000"/>
                      <w:sz w:val="24"/>
                      <w:szCs w:val="24"/>
                    </w:rPr>
                  </w:pPr>
                </w:p>
              </w:tc>
            </w:tr>
          </w:tbl>
          <w:p w14:paraId="084A3F41" w14:textId="77777777" w:rsidR="009E1A83" w:rsidRPr="00DB35D6" w:rsidRDefault="0042346C" w:rsidP="009E1A83">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9E1A83" w:rsidRPr="00DB35D6">
              <w:rPr>
                <w:rFonts w:ascii="Times New Roman" w:eastAsia="Times New Roman" w:hAnsi="Times New Roman" w:cs="Times New Roman"/>
                <w:b/>
                <w:bCs/>
                <w:color w:val="000000"/>
                <w:sz w:val="24"/>
                <w:szCs w:val="24"/>
              </w:rPr>
              <w:t>18.1.2 Population frame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344"/>
            </w:tblGrid>
            <w:tr w:rsidR="009E1A83" w:rsidRPr="00DB35D6" w14:paraId="1AC8E829" w14:textId="77777777" w:rsidTr="00B80314">
              <w:trPr>
                <w:trHeight w:val="397"/>
              </w:trPr>
              <w:tc>
                <w:tcPr>
                  <w:tcW w:w="0" w:type="auto"/>
                  <w:gridSpan w:val="2"/>
                  <w:vAlign w:val="center"/>
                  <w:hideMark/>
                </w:tcPr>
                <w:p w14:paraId="23695404"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b/>
                      <w:bCs/>
                      <w:sz w:val="24"/>
                      <w:szCs w:val="24"/>
                    </w:rPr>
                    <w:t>18.1.2.1 Population frame</w:t>
                  </w:r>
                  <w:r w:rsidRPr="00DB35D6">
                    <w:rPr>
                      <w:rFonts w:ascii="&amp;quot" w:eastAsia="Times New Roman" w:hAnsi="&amp;quot" w:cs="Times New Roman"/>
                      <w:sz w:val="24"/>
                      <w:szCs w:val="24"/>
                    </w:rPr>
                    <w:t> </w:t>
                  </w:r>
                </w:p>
              </w:tc>
            </w:tr>
            <w:tr w:rsidR="009E1A83" w:rsidRPr="00DB35D6" w14:paraId="19E65F1C" w14:textId="77777777" w:rsidTr="00B80314">
              <w:trPr>
                <w:trHeight w:val="397"/>
              </w:trPr>
              <w:tc>
                <w:tcPr>
                  <w:tcW w:w="2323" w:type="pct"/>
                  <w:vAlign w:val="center"/>
                  <w:hideMark/>
                </w:tcPr>
                <w:p w14:paraId="287F240B"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sz w:val="24"/>
                      <w:szCs w:val="24"/>
                    </w:rPr>
                    <w:t>18.1.2.1.1 Capacity</w:t>
                  </w:r>
                </w:p>
              </w:tc>
              <w:tc>
                <w:tcPr>
                  <w:tcW w:w="2677" w:type="pct"/>
                  <w:vAlign w:val="center"/>
                  <w:hideMark/>
                </w:tcPr>
                <w:p w14:paraId="309687D9" w14:textId="06F19C48" w:rsidR="009E1A83" w:rsidRPr="00DB35D6" w:rsidRDefault="009E1A83" w:rsidP="00DE592B">
                  <w:pPr>
                    <w:rPr>
                      <w:rFonts w:ascii="Times New Roman" w:eastAsia="Times New Roman" w:hAnsi="Times New Roman" w:cs="Times New Roman"/>
                      <w:sz w:val="24"/>
                      <w:szCs w:val="24"/>
                    </w:rPr>
                  </w:pPr>
                  <w:r w:rsidRPr="00DB35D6">
                    <w:rPr>
                      <w:rFonts w:ascii="&amp;quot" w:eastAsia="Times New Roman" w:hAnsi="&amp;quot" w:cs="Times New Roman"/>
                      <w:sz w:val="24"/>
                      <w:szCs w:val="24"/>
                    </w:rPr>
                    <w:t>Statistical Business Register</w:t>
                  </w:r>
                  <w:r w:rsidR="00DE592B">
                    <w:rPr>
                      <w:rFonts w:ascii="&amp;quot" w:eastAsia="Times New Roman" w:hAnsi="&amp;quot" w:cs="Times New Roman"/>
                      <w:sz w:val="24"/>
                      <w:szCs w:val="24"/>
                    </w:rPr>
                    <w:t xml:space="preserve"> (T-2)</w:t>
                  </w:r>
                </w:p>
              </w:tc>
            </w:tr>
            <w:tr w:rsidR="009E1A83" w:rsidRPr="00DB35D6" w14:paraId="31F77F5F" w14:textId="77777777" w:rsidTr="00B80314">
              <w:trPr>
                <w:trHeight w:val="397"/>
              </w:trPr>
              <w:tc>
                <w:tcPr>
                  <w:tcW w:w="2323" w:type="pct"/>
                  <w:vAlign w:val="center"/>
                  <w:hideMark/>
                </w:tcPr>
                <w:p w14:paraId="35DB6F64"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sz w:val="24"/>
                      <w:szCs w:val="24"/>
                    </w:rPr>
                    <w:t>18.1.2.1.2 Occupancy </w:t>
                  </w:r>
                </w:p>
              </w:tc>
              <w:tc>
                <w:tcPr>
                  <w:tcW w:w="2677" w:type="pct"/>
                  <w:vAlign w:val="center"/>
                  <w:hideMark/>
                </w:tcPr>
                <w:p w14:paraId="3E4D2E56" w14:textId="68CBFC69"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sz w:val="24"/>
                      <w:szCs w:val="24"/>
                    </w:rPr>
                    <w:t>Statistical Business Register</w:t>
                  </w:r>
                  <w:r w:rsidR="00DE592B">
                    <w:rPr>
                      <w:rFonts w:ascii="&amp;quot" w:eastAsia="Times New Roman" w:hAnsi="&amp;quot" w:cs="Times New Roman"/>
                      <w:sz w:val="24"/>
                      <w:szCs w:val="24"/>
                    </w:rPr>
                    <w:t xml:space="preserve"> (T-2)</w:t>
                  </w:r>
                </w:p>
              </w:tc>
            </w:tr>
            <w:tr w:rsidR="009E1A83" w:rsidRPr="00DB35D6" w14:paraId="2BDB3F6F" w14:textId="77777777" w:rsidTr="00B80314">
              <w:trPr>
                <w:trHeight w:val="397"/>
              </w:trPr>
              <w:tc>
                <w:tcPr>
                  <w:tcW w:w="0" w:type="auto"/>
                  <w:gridSpan w:val="2"/>
                  <w:vAlign w:val="center"/>
                  <w:hideMark/>
                </w:tcPr>
                <w:p w14:paraId="7EDE2916"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b/>
                      <w:bCs/>
                      <w:sz w:val="24"/>
                      <w:szCs w:val="24"/>
                    </w:rPr>
                    <w:t>18.1.2.2 Update of population frame</w:t>
                  </w:r>
                  <w:r w:rsidRPr="00DB35D6">
                    <w:rPr>
                      <w:rFonts w:ascii="&amp;quot" w:eastAsia="Times New Roman" w:hAnsi="&amp;quot" w:cs="Times New Roman"/>
                      <w:sz w:val="24"/>
                      <w:szCs w:val="24"/>
                    </w:rPr>
                    <w:t> </w:t>
                  </w:r>
                </w:p>
              </w:tc>
            </w:tr>
            <w:tr w:rsidR="009E1A83" w:rsidRPr="00DB35D6" w14:paraId="350431FE" w14:textId="77777777" w:rsidTr="00B80314">
              <w:trPr>
                <w:trHeight w:val="397"/>
              </w:trPr>
              <w:tc>
                <w:tcPr>
                  <w:tcW w:w="2323" w:type="pct"/>
                  <w:vAlign w:val="center"/>
                  <w:hideMark/>
                </w:tcPr>
                <w:p w14:paraId="151D4458"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sz w:val="24"/>
                      <w:szCs w:val="24"/>
                    </w:rPr>
                    <w:t>18.1.2.2.1 Capacity </w:t>
                  </w:r>
                </w:p>
              </w:tc>
              <w:tc>
                <w:tcPr>
                  <w:tcW w:w="2677" w:type="pct"/>
                  <w:vAlign w:val="center"/>
                  <w:hideMark/>
                </w:tcPr>
                <w:p w14:paraId="1ED38E3B"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sz w:val="24"/>
                      <w:szCs w:val="24"/>
                    </w:rPr>
                    <w:t>Monthly</w:t>
                  </w:r>
                </w:p>
              </w:tc>
            </w:tr>
            <w:tr w:rsidR="009E1A83" w:rsidRPr="00DB35D6" w14:paraId="14FA5676" w14:textId="77777777" w:rsidTr="00B80314">
              <w:trPr>
                <w:trHeight w:val="397"/>
              </w:trPr>
              <w:tc>
                <w:tcPr>
                  <w:tcW w:w="2323" w:type="pct"/>
                  <w:vAlign w:val="center"/>
                  <w:hideMark/>
                </w:tcPr>
                <w:p w14:paraId="7CFEBED4" w14:textId="77777777" w:rsidR="009E1A83" w:rsidRPr="00DB35D6" w:rsidRDefault="009E1A83" w:rsidP="00B80314">
                  <w:pPr>
                    <w:rPr>
                      <w:rFonts w:ascii="Times New Roman" w:eastAsia="Times New Roman" w:hAnsi="Times New Roman" w:cs="Times New Roman"/>
                      <w:sz w:val="24"/>
                      <w:szCs w:val="24"/>
                    </w:rPr>
                  </w:pPr>
                  <w:r>
                    <w:rPr>
                      <w:rFonts w:ascii="&amp;quot" w:eastAsia="Times New Roman" w:hAnsi="&amp;quot" w:cs="Times New Roman"/>
                      <w:sz w:val="24"/>
                      <w:szCs w:val="24"/>
                    </w:rPr>
                    <w:t xml:space="preserve">18.1.2.2.2 </w:t>
                  </w:r>
                  <w:r w:rsidRPr="00DB35D6">
                    <w:rPr>
                      <w:rFonts w:ascii="&amp;quot" w:eastAsia="Times New Roman" w:hAnsi="&amp;quot" w:cs="Times New Roman"/>
                      <w:sz w:val="24"/>
                      <w:szCs w:val="24"/>
                    </w:rPr>
                    <w:t>Occupancy </w:t>
                  </w:r>
                </w:p>
              </w:tc>
              <w:tc>
                <w:tcPr>
                  <w:tcW w:w="2677" w:type="pct"/>
                  <w:vAlign w:val="center"/>
                  <w:hideMark/>
                </w:tcPr>
                <w:p w14:paraId="53EBB7E3"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sz w:val="24"/>
                      <w:szCs w:val="24"/>
                    </w:rPr>
                    <w:t>Monthly</w:t>
                  </w:r>
                </w:p>
              </w:tc>
            </w:tr>
            <w:tr w:rsidR="009E1A83" w:rsidRPr="00DB35D6" w14:paraId="6B118945" w14:textId="77777777" w:rsidTr="00B80314">
              <w:trPr>
                <w:trHeight w:val="397"/>
              </w:trPr>
              <w:tc>
                <w:tcPr>
                  <w:tcW w:w="0" w:type="auto"/>
                  <w:gridSpan w:val="2"/>
                  <w:tcBorders>
                    <w:bottom w:val="single" w:sz="2" w:space="0" w:color="BFBFBF" w:themeColor="background1" w:themeShade="BF"/>
                  </w:tcBorders>
                  <w:vAlign w:val="center"/>
                  <w:hideMark/>
                </w:tcPr>
                <w:p w14:paraId="62D39BEC"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b/>
                      <w:bCs/>
                      <w:sz w:val="24"/>
                      <w:szCs w:val="24"/>
                    </w:rPr>
                    <w:t>18.1.2.3 Other or additional comments</w:t>
                  </w:r>
                  <w:r w:rsidRPr="00DB35D6">
                    <w:rPr>
                      <w:rFonts w:ascii="&amp;quot" w:eastAsia="Times New Roman" w:hAnsi="&amp;quot" w:cs="Times New Roman"/>
                      <w:sz w:val="24"/>
                      <w:szCs w:val="24"/>
                    </w:rPr>
                    <w:t> </w:t>
                  </w:r>
                </w:p>
              </w:tc>
            </w:tr>
            <w:tr w:rsidR="009E1A83" w:rsidRPr="00DB35D6" w14:paraId="1F85A182" w14:textId="77777777" w:rsidTr="00B80314">
              <w:trPr>
                <w:trHeight w:val="397"/>
              </w:trPr>
              <w:tc>
                <w:tcPr>
                  <w:tcW w:w="0" w:type="auto"/>
                  <w:gridSpan w:val="2"/>
                  <w:tcBorders>
                    <w:top w:val="single" w:sz="2" w:space="0" w:color="BFBFBF" w:themeColor="background1" w:themeShade="BF"/>
                    <w:bottom w:val="single" w:sz="4" w:space="0" w:color="BFBFBF" w:themeColor="background1" w:themeShade="BF"/>
                  </w:tcBorders>
                  <w:vAlign w:val="center"/>
                  <w:hideMark/>
                </w:tcPr>
                <w:p w14:paraId="1ACC026C" w14:textId="77777777" w:rsidR="009E1A83" w:rsidRPr="00DB35D6" w:rsidRDefault="001174E6" w:rsidP="00B80314">
                  <w:pPr>
                    <w:rPr>
                      <w:rFonts w:ascii="Times New Roman" w:eastAsia="Times New Roman" w:hAnsi="Times New Roman" w:cs="Times New Roman"/>
                      <w:sz w:val="24"/>
                      <w:szCs w:val="24"/>
                    </w:rPr>
                  </w:pPr>
                  <w:r w:rsidRPr="00DB35D6">
                    <w:rPr>
                      <w:rFonts w:ascii="&amp;quot" w:eastAsia="Times New Roman" w:hAnsi="&amp;quot" w:cs="Times New Roman"/>
                      <w:b/>
                      <w:bCs/>
                      <w:sz w:val="24"/>
                      <w:szCs w:val="24"/>
                    </w:rPr>
                    <w:t>18.1.2.4 Coverage errors of population frame</w:t>
                  </w:r>
                  <w:r w:rsidRPr="00DB35D6">
                    <w:rPr>
                      <w:rFonts w:ascii="&amp;quot" w:eastAsia="Times New Roman" w:hAnsi="&amp;quot" w:cs="Times New Roman"/>
                      <w:sz w:val="24"/>
                      <w:szCs w:val="24"/>
                    </w:rPr>
                    <w:t> </w:t>
                  </w:r>
                </w:p>
              </w:tc>
            </w:tr>
            <w:tr w:rsidR="009E1A83" w:rsidRPr="00DB35D6" w14:paraId="5B4D8821" w14:textId="77777777" w:rsidTr="00B80314">
              <w:trPr>
                <w:trHeight w:val="397"/>
              </w:trPr>
              <w:tc>
                <w:tcPr>
                  <w:tcW w:w="2323" w:type="pct"/>
                  <w:vAlign w:val="center"/>
                  <w:hideMark/>
                </w:tcPr>
                <w:p w14:paraId="6491BB83"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sz w:val="24"/>
                      <w:szCs w:val="24"/>
                    </w:rPr>
                    <w:t>18.1.2.4.1 Capacity </w:t>
                  </w:r>
                </w:p>
              </w:tc>
              <w:tc>
                <w:tcPr>
                  <w:tcW w:w="2677" w:type="pct"/>
                  <w:vAlign w:val="center"/>
                  <w:hideMark/>
                </w:tcPr>
                <w:p w14:paraId="45D36EC6" w14:textId="77777777" w:rsidR="009E1A83" w:rsidRPr="00DB35D6" w:rsidRDefault="009E1A83" w:rsidP="00B80314">
                  <w:pPr>
                    <w:spacing w:before="30" w:after="30"/>
                    <w:rPr>
                      <w:rFonts w:ascii="Times New Roman" w:eastAsia="Times New Roman" w:hAnsi="Times New Roman" w:cs="Times New Roman"/>
                      <w:sz w:val="24"/>
                      <w:szCs w:val="24"/>
                    </w:rPr>
                  </w:pPr>
                  <w:r w:rsidRPr="00DB35D6">
                    <w:rPr>
                      <w:rFonts w:ascii="Times New Roman" w:eastAsia="Times New Roman" w:hAnsi="Times New Roman" w:cs="Times New Roman"/>
                      <w:sz w:val="24"/>
                      <w:szCs w:val="24"/>
                    </w:rPr>
                    <w:t>Not Applicable</w:t>
                  </w:r>
                </w:p>
              </w:tc>
            </w:tr>
            <w:tr w:rsidR="009E1A83" w:rsidRPr="00DB35D6" w14:paraId="06F13FE8" w14:textId="77777777" w:rsidTr="00B80314">
              <w:trPr>
                <w:trHeight w:val="397"/>
              </w:trPr>
              <w:tc>
                <w:tcPr>
                  <w:tcW w:w="2323" w:type="pct"/>
                  <w:vAlign w:val="center"/>
                  <w:hideMark/>
                </w:tcPr>
                <w:p w14:paraId="486C50E6" w14:textId="77777777" w:rsidR="009E1A83" w:rsidRPr="00DB35D6" w:rsidRDefault="009E1A83" w:rsidP="00B80314">
                  <w:pPr>
                    <w:rPr>
                      <w:rFonts w:ascii="Times New Roman" w:eastAsia="Times New Roman" w:hAnsi="Times New Roman" w:cs="Times New Roman"/>
                      <w:sz w:val="24"/>
                      <w:szCs w:val="24"/>
                    </w:rPr>
                  </w:pPr>
                  <w:r w:rsidRPr="00DB35D6">
                    <w:rPr>
                      <w:rFonts w:ascii="&amp;quot" w:eastAsia="Times New Roman" w:hAnsi="&amp;quot" w:cs="Times New Roman"/>
                      <w:sz w:val="24"/>
                      <w:szCs w:val="24"/>
                    </w:rPr>
                    <w:t>18.1.2.4.2 Occupancy </w:t>
                  </w:r>
                </w:p>
              </w:tc>
              <w:tc>
                <w:tcPr>
                  <w:tcW w:w="2677" w:type="pct"/>
                  <w:vAlign w:val="center"/>
                  <w:hideMark/>
                </w:tcPr>
                <w:p w14:paraId="7E686B81" w14:textId="77777777" w:rsidR="009E1A83" w:rsidRPr="00DB35D6" w:rsidRDefault="009E1A83" w:rsidP="00B80314">
                  <w:pPr>
                    <w:spacing w:before="30" w:after="30"/>
                    <w:rPr>
                      <w:rFonts w:ascii="Times New Roman" w:eastAsia="Times New Roman" w:hAnsi="Times New Roman" w:cs="Times New Roman"/>
                      <w:sz w:val="24"/>
                      <w:szCs w:val="24"/>
                    </w:rPr>
                  </w:pPr>
                  <w:r w:rsidRPr="00DB35D6">
                    <w:rPr>
                      <w:rFonts w:ascii="Times New Roman" w:eastAsia="Times New Roman" w:hAnsi="Times New Roman" w:cs="Times New Roman"/>
                      <w:sz w:val="24"/>
                      <w:szCs w:val="24"/>
                    </w:rPr>
                    <w:t>Not Applicable</w:t>
                  </w:r>
                </w:p>
              </w:tc>
            </w:tr>
          </w:tbl>
          <w:p w14:paraId="702D6D7D" w14:textId="77777777" w:rsidR="009E1A83" w:rsidRPr="00DB35D6" w:rsidRDefault="0042346C" w:rsidP="009E1A83">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9E1A83" w:rsidRPr="00DB35D6">
              <w:rPr>
                <w:rFonts w:ascii="Times New Roman" w:eastAsia="Times New Roman" w:hAnsi="Times New Roman" w:cs="Times New Roman"/>
                <w:b/>
                <w:bCs/>
                <w:color w:val="000000"/>
                <w:sz w:val="24"/>
                <w:szCs w:val="24"/>
              </w:rPr>
              <w:t>18.1.3 Sampling design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113"/>
            </w:tblGrid>
            <w:tr w:rsidR="009E1A83" w:rsidRPr="00DB35D6" w14:paraId="1463E415" w14:textId="77777777" w:rsidTr="001174E6">
              <w:tc>
                <w:tcPr>
                  <w:tcW w:w="0" w:type="auto"/>
                  <w:hideMark/>
                </w:tcPr>
                <w:p w14:paraId="19CE35D2" w14:textId="77777777" w:rsidR="009E1A83" w:rsidRPr="00DB35D6" w:rsidRDefault="009E1A83" w:rsidP="0042346C">
                  <w:pPr>
                    <w:spacing w:before="30" w:after="30"/>
                    <w:jc w:val="both"/>
                    <w:rPr>
                      <w:rFonts w:ascii="Times New Roman" w:eastAsia="Times New Roman" w:hAnsi="Times New Roman" w:cs="Times New Roman"/>
                      <w:sz w:val="24"/>
                      <w:szCs w:val="24"/>
                    </w:rPr>
                  </w:pPr>
                  <w:r w:rsidRPr="00DB35D6">
                    <w:rPr>
                      <w:rFonts w:ascii="Times New Roman" w:eastAsia="Times New Roman" w:hAnsi="Times New Roman" w:cs="Times New Roman"/>
                      <w:sz w:val="24"/>
                      <w:szCs w:val="24"/>
                    </w:rPr>
                    <w:t>Census among units with 10 or more employees;</w:t>
                  </w:r>
                </w:p>
                <w:p w14:paraId="16F371DD" w14:textId="77777777" w:rsidR="009E1A83" w:rsidRPr="00DB35D6" w:rsidRDefault="009E1A83" w:rsidP="0042346C">
                  <w:pPr>
                    <w:spacing w:before="30" w:after="30"/>
                    <w:jc w:val="both"/>
                    <w:rPr>
                      <w:rFonts w:ascii="Times New Roman" w:eastAsia="Times New Roman" w:hAnsi="Times New Roman" w:cs="Times New Roman"/>
                      <w:sz w:val="24"/>
                      <w:szCs w:val="24"/>
                    </w:rPr>
                  </w:pPr>
                  <w:r w:rsidRPr="00DB35D6">
                    <w:rPr>
                      <w:rFonts w:ascii="Times New Roman" w:eastAsia="Times New Roman" w:hAnsi="Times New Roman" w:cs="Times New Roman"/>
                      <w:sz w:val="24"/>
                      <w:szCs w:val="24"/>
                    </w:rPr>
                    <w:t xml:space="preserve">A sample is taken from the remaining establishments, using stratification by size of enterprise and NACE.  </w:t>
                  </w:r>
                </w:p>
              </w:tc>
            </w:tr>
          </w:tbl>
          <w:p w14:paraId="5731C754" w14:textId="77777777" w:rsidR="009E1A83" w:rsidRPr="00C30E41" w:rsidRDefault="009E1A83" w:rsidP="002B4712">
            <w:pPr>
              <w:spacing w:before="30" w:line="240" w:lineRule="auto"/>
              <w:rPr>
                <w:rFonts w:ascii="Times New Roman" w:eastAsia="Times New Roman" w:hAnsi="Times New Roman" w:cs="Times New Roman"/>
                <w:color w:val="000000"/>
                <w:sz w:val="24"/>
                <w:szCs w:val="24"/>
              </w:rPr>
            </w:pPr>
            <w:r w:rsidRPr="00DB35D6">
              <w:rPr>
                <w:rFonts w:ascii="Times New Roman" w:eastAsia="Times New Roman" w:hAnsi="Times New Roman" w:cs="Times New Roman"/>
                <w:color w:val="000000"/>
                <w:sz w:val="24"/>
                <w:szCs w:val="24"/>
              </w:rPr>
              <w:br/>
            </w:r>
            <w:r w:rsidRPr="00DB35D6">
              <w:rPr>
                <w:rFonts w:ascii="Times New Roman" w:eastAsia="Times New Roman" w:hAnsi="Times New Roman" w:cs="Times New Roman"/>
                <w:b/>
                <w:bCs/>
                <w:color w:val="000000"/>
                <w:sz w:val="24"/>
                <w:szCs w:val="24"/>
              </w:rPr>
              <w:t>18.1.4 Other or additional comments on source data, population frame or sampling design</w:t>
            </w:r>
            <w:r w:rsidRPr="00DB35D6">
              <w:rPr>
                <w:rFonts w:ascii="Times New Roman" w:eastAsia="Times New Roman" w:hAnsi="Times New Roman" w:cs="Times New Roman"/>
                <w:color w:val="000000"/>
                <w:sz w:val="24"/>
                <w:szCs w:val="24"/>
              </w:rPr>
              <w:t xml:space="preserve"> (e.g. differences per NACE class)</w:t>
            </w:r>
          </w:p>
        </w:tc>
      </w:tr>
      <w:tr w:rsidR="00011189" w:rsidRPr="00493D72" w14:paraId="154EF20B" w14:textId="77777777" w:rsidTr="00EA1937">
        <w:trPr>
          <w:trHeight w:val="854"/>
        </w:trPr>
        <w:tc>
          <w:tcPr>
            <w:tcW w:w="2371" w:type="dxa"/>
            <w:shd w:val="clear" w:color="auto" w:fill="FFFFCC"/>
            <w:vAlign w:val="center"/>
            <w:hideMark/>
          </w:tcPr>
          <w:p w14:paraId="6B0C2BCE" w14:textId="77777777" w:rsidR="00011189" w:rsidRPr="00493D72" w:rsidRDefault="00011189"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18.2. </w:t>
            </w:r>
            <w:r w:rsidR="00531088" w:rsidRPr="00493D72">
              <w:rPr>
                <w:rFonts w:ascii="Times New Roman" w:eastAsia="Times New Roman" w:hAnsi="Times New Roman" w:cs="Times New Roman"/>
                <w:noProof/>
                <w:color w:val="000000"/>
                <w:sz w:val="24"/>
                <w:szCs w:val="24"/>
                <w:lang w:val="sq-AL" w:eastAsia="sq-AL"/>
              </w:rPr>
              <w:t>Frequency of data collection</w:t>
            </w:r>
          </w:p>
        </w:tc>
        <w:tc>
          <w:tcPr>
            <w:tcW w:w="8311" w:type="dxa"/>
            <w:shd w:val="clear" w:color="auto" w:fill="auto"/>
            <w:noWrap/>
            <w:vAlign w:val="center"/>
            <w:hideMark/>
          </w:tcPr>
          <w:p w14:paraId="4CF95C18" w14:textId="77777777" w:rsidR="00011189" w:rsidRPr="001174E6" w:rsidRDefault="000129C3" w:rsidP="001174E6">
            <w:pPr>
              <w:spacing w:before="240"/>
              <w:rPr>
                <w:rFonts w:ascii="Times New Roman" w:hAnsi="Times New Roman" w:cs="Times New Roman"/>
                <w:sz w:val="24"/>
                <w:szCs w:val="24"/>
              </w:rPr>
            </w:pPr>
            <w:r w:rsidRPr="00671850">
              <w:rPr>
                <w:rFonts w:ascii="Times New Roman" w:hAnsi="Times New Roman" w:cs="Times New Roman"/>
                <w:sz w:val="24"/>
                <w:szCs w:val="24"/>
              </w:rPr>
              <w:t>Data are compiled on an annual basis (but collected via the monthly surveys).</w:t>
            </w:r>
          </w:p>
        </w:tc>
      </w:tr>
      <w:tr w:rsidR="00473EF5" w:rsidRPr="00493D72" w14:paraId="327D2170" w14:textId="77777777" w:rsidTr="00EA1937">
        <w:trPr>
          <w:trHeight w:val="728"/>
        </w:trPr>
        <w:tc>
          <w:tcPr>
            <w:tcW w:w="2371" w:type="dxa"/>
            <w:shd w:val="clear" w:color="auto" w:fill="FFFFCC"/>
            <w:vAlign w:val="center"/>
            <w:hideMark/>
          </w:tcPr>
          <w:p w14:paraId="10A84400"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18.3. Data collection</w:t>
            </w:r>
          </w:p>
        </w:tc>
        <w:tc>
          <w:tcPr>
            <w:tcW w:w="8311" w:type="dxa"/>
            <w:shd w:val="clear" w:color="auto" w:fill="auto"/>
            <w:vAlign w:val="center"/>
          </w:tcPr>
          <w:p w14:paraId="224569BA" w14:textId="77777777" w:rsidR="00AA0373" w:rsidRPr="00DB35D6" w:rsidRDefault="00AA0373" w:rsidP="00AA0373">
            <w:pPr>
              <w:spacing w:before="30" w:after="30" w:line="240" w:lineRule="auto"/>
              <w:rPr>
                <w:rFonts w:ascii="Times New Roman" w:eastAsia="Times New Roman" w:hAnsi="Times New Roman" w:cs="Times New Roman"/>
                <w:color w:val="000000"/>
                <w:sz w:val="24"/>
                <w:szCs w:val="24"/>
              </w:rPr>
            </w:pPr>
            <w:r w:rsidRPr="00DB35D6">
              <w:rPr>
                <w:rFonts w:ascii="Times New Roman" w:eastAsia="Times New Roman" w:hAnsi="Times New Roman" w:cs="Times New Roman"/>
                <w:b/>
                <w:bCs/>
                <w:color w:val="000000"/>
                <w:sz w:val="24"/>
                <w:szCs w:val="24"/>
              </w:rPr>
              <w:t>18.3.1 Type of survey</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8"/>
              <w:gridCol w:w="3565"/>
            </w:tblGrid>
            <w:tr w:rsidR="00AA0373" w:rsidRPr="00DB35D6" w14:paraId="1EDEF711" w14:textId="77777777" w:rsidTr="00103531">
              <w:tc>
                <w:tcPr>
                  <w:tcW w:w="2803" w:type="pct"/>
                  <w:vAlign w:val="center"/>
                  <w:hideMark/>
                </w:tcPr>
                <w:p w14:paraId="5BF5C11C" w14:textId="77777777" w:rsidR="00AA0373" w:rsidRPr="00DB35D6" w:rsidRDefault="00AA0373" w:rsidP="00860902">
                  <w:pPr>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18.3.1.1 Capacity</w:t>
                  </w:r>
                </w:p>
              </w:tc>
              <w:tc>
                <w:tcPr>
                  <w:tcW w:w="2197" w:type="pct"/>
                  <w:hideMark/>
                </w:tcPr>
                <w:p w14:paraId="7DFE4661" w14:textId="77777777" w:rsidR="00AA0373" w:rsidRPr="00DB35D6" w:rsidRDefault="00AA0373" w:rsidP="00F95525">
                  <w:pPr>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Business survey collected by the INSTAT</w:t>
                  </w:r>
                </w:p>
              </w:tc>
            </w:tr>
            <w:tr w:rsidR="00AA0373" w:rsidRPr="00DB35D6" w14:paraId="2C0A9B94" w14:textId="77777777" w:rsidTr="00103531">
              <w:tc>
                <w:tcPr>
                  <w:tcW w:w="2803" w:type="pct"/>
                  <w:vAlign w:val="center"/>
                  <w:hideMark/>
                </w:tcPr>
                <w:p w14:paraId="6AB91C84" w14:textId="77777777" w:rsidR="00AA0373" w:rsidRPr="00DB35D6" w:rsidRDefault="00AA0373" w:rsidP="00860902">
                  <w:pPr>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18.3.1.2 Occupancy</w:t>
                  </w:r>
                </w:p>
              </w:tc>
              <w:tc>
                <w:tcPr>
                  <w:tcW w:w="2197" w:type="pct"/>
                  <w:hideMark/>
                </w:tcPr>
                <w:p w14:paraId="5A87EFE2" w14:textId="77777777" w:rsidR="00AA0373" w:rsidRPr="00DB35D6" w:rsidRDefault="00AA0373" w:rsidP="00F95525">
                  <w:pPr>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Business survey collected by the INSTAT</w:t>
                  </w:r>
                </w:p>
              </w:tc>
            </w:tr>
            <w:tr w:rsidR="00AA0373" w:rsidRPr="00DB35D6" w14:paraId="1BBEC753" w14:textId="77777777" w:rsidTr="00103531">
              <w:tc>
                <w:tcPr>
                  <w:tcW w:w="2803" w:type="pct"/>
                  <w:vAlign w:val="center"/>
                  <w:hideMark/>
                </w:tcPr>
                <w:p w14:paraId="2DFF3484" w14:textId="77777777" w:rsidR="00AA0373" w:rsidRPr="00DB35D6" w:rsidRDefault="00AA0373" w:rsidP="00860902">
                  <w:pPr>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18.3.1.3 If other type or non-NSI, or additional comments (e.g. differences per NACE class), please specify</w:t>
                  </w:r>
                </w:p>
              </w:tc>
              <w:tc>
                <w:tcPr>
                  <w:tcW w:w="2197" w:type="pct"/>
                  <w:hideMark/>
                </w:tcPr>
                <w:p w14:paraId="328E64D3" w14:textId="77777777" w:rsidR="00AA0373" w:rsidRPr="00DB35D6" w:rsidRDefault="00AA0373" w:rsidP="00F95525">
                  <w:pPr>
                    <w:rPr>
                      <w:rFonts w:ascii="Times New Roman" w:eastAsia="Times New Roman" w:hAnsi="Times New Roman" w:cs="Times New Roman"/>
                      <w:sz w:val="20"/>
                      <w:szCs w:val="20"/>
                    </w:rPr>
                  </w:pPr>
                </w:p>
              </w:tc>
            </w:tr>
          </w:tbl>
          <w:p w14:paraId="00F1785F" w14:textId="77777777" w:rsidR="00AA0373" w:rsidRPr="00DB35D6" w:rsidRDefault="00AA0373" w:rsidP="002B4712">
            <w:pPr>
              <w:spacing w:before="240" w:after="30" w:line="240" w:lineRule="auto"/>
              <w:rPr>
                <w:rFonts w:ascii="Times New Roman" w:eastAsia="Times New Roman" w:hAnsi="Times New Roman" w:cs="Times New Roman"/>
                <w:color w:val="000000"/>
                <w:sz w:val="24"/>
                <w:szCs w:val="24"/>
              </w:rPr>
            </w:pPr>
            <w:r w:rsidRPr="00DB35D6">
              <w:rPr>
                <w:rFonts w:ascii="Times New Roman" w:eastAsia="Times New Roman" w:hAnsi="Times New Roman" w:cs="Times New Roman"/>
                <w:b/>
                <w:bCs/>
                <w:color w:val="000000"/>
                <w:sz w:val="24"/>
                <w:szCs w:val="24"/>
              </w:rPr>
              <w:lastRenderedPageBreak/>
              <w:t>18.3.2 Data collection methods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8"/>
              <w:gridCol w:w="3565"/>
            </w:tblGrid>
            <w:tr w:rsidR="00AA0373" w:rsidRPr="00DB35D6" w14:paraId="60C5F291" w14:textId="77777777" w:rsidTr="00103531">
              <w:trPr>
                <w:trHeight w:val="340"/>
              </w:trPr>
              <w:tc>
                <w:tcPr>
                  <w:tcW w:w="2803" w:type="pct"/>
                  <w:vAlign w:val="center"/>
                  <w:hideMark/>
                </w:tcPr>
                <w:p w14:paraId="4AA39759" w14:textId="77777777" w:rsidR="00AA0373" w:rsidRPr="00DB35D6" w:rsidRDefault="00AA0373" w:rsidP="00103531">
                  <w:pPr>
                    <w:rPr>
                      <w:rFonts w:ascii="Times New Roman" w:eastAsia="Times New Roman" w:hAnsi="Times New Roman" w:cs="Times New Roman"/>
                      <w:sz w:val="24"/>
                      <w:szCs w:val="24"/>
                    </w:rPr>
                  </w:pPr>
                  <w:r w:rsidRPr="00DB35D6">
                    <w:rPr>
                      <w:rFonts w:ascii="&amp;quot" w:eastAsia="Times New Roman" w:hAnsi="&amp;quot" w:cs="Times New Roman"/>
                      <w:sz w:val="24"/>
                      <w:szCs w:val="24"/>
                    </w:rPr>
                    <w:t>18.3.2.1 Capacity</w:t>
                  </w:r>
                </w:p>
              </w:tc>
              <w:tc>
                <w:tcPr>
                  <w:tcW w:w="2197" w:type="pct"/>
                  <w:vAlign w:val="center"/>
                  <w:hideMark/>
                </w:tcPr>
                <w:p w14:paraId="00F20C13" w14:textId="71340763" w:rsidR="00AA0373" w:rsidRPr="00DB35D6" w:rsidRDefault="00AA0373" w:rsidP="00103531">
                  <w:pPr>
                    <w:rPr>
                      <w:rFonts w:ascii="Times New Roman" w:eastAsia="Times New Roman" w:hAnsi="Times New Roman" w:cs="Times New Roman"/>
                      <w:sz w:val="24"/>
                      <w:szCs w:val="24"/>
                    </w:rPr>
                  </w:pPr>
                  <w:r w:rsidRPr="00DB35D6">
                    <w:rPr>
                      <w:rFonts w:ascii="&amp;quot" w:eastAsia="Times New Roman" w:hAnsi="&amp;quot" w:cs="Times New Roman"/>
                      <w:sz w:val="24"/>
                      <w:szCs w:val="24"/>
                    </w:rPr>
                    <w:t>Paper Assisted Personal Intervi</w:t>
                  </w:r>
                  <w:r w:rsidRPr="002360D2">
                    <w:rPr>
                      <w:rFonts w:ascii="&amp;quot" w:eastAsia="Times New Roman" w:hAnsi="&amp;quot" w:cs="Times New Roman"/>
                      <w:sz w:val="24"/>
                      <w:szCs w:val="24"/>
                    </w:rPr>
                    <w:t>ew</w:t>
                  </w:r>
                  <w:r w:rsidR="00D1061A" w:rsidRPr="002360D2">
                    <w:rPr>
                      <w:rFonts w:ascii="&amp;quot" w:eastAsia="Times New Roman" w:hAnsi="&amp;quot" w:cs="Times New Roman"/>
                      <w:sz w:val="24"/>
                      <w:szCs w:val="24"/>
                    </w:rPr>
                    <w:t xml:space="preserve">, </w:t>
                  </w:r>
                  <w:r w:rsidR="000C229C" w:rsidRPr="002360D2">
                    <w:rPr>
                      <w:rFonts w:ascii="&amp;quot" w:eastAsia="Times New Roman" w:hAnsi="&amp;quot" w:cs="Times New Roman"/>
                      <w:sz w:val="24"/>
                      <w:szCs w:val="24"/>
                    </w:rPr>
                    <w:t xml:space="preserve">Enterprise </w:t>
                  </w:r>
                  <w:r w:rsidR="00D1061A" w:rsidRPr="002360D2">
                    <w:rPr>
                      <w:rFonts w:ascii="&amp;quot" w:eastAsia="Times New Roman" w:hAnsi="&amp;quot" w:cs="Times New Roman"/>
                      <w:sz w:val="24"/>
                      <w:szCs w:val="24"/>
                    </w:rPr>
                    <w:t xml:space="preserve">Telephone Interview </w:t>
                  </w:r>
                </w:p>
              </w:tc>
            </w:tr>
            <w:tr w:rsidR="00AA0373" w:rsidRPr="00DB35D6" w14:paraId="2DCBF549" w14:textId="77777777" w:rsidTr="00103531">
              <w:trPr>
                <w:trHeight w:val="340"/>
              </w:trPr>
              <w:tc>
                <w:tcPr>
                  <w:tcW w:w="2803" w:type="pct"/>
                  <w:vAlign w:val="center"/>
                  <w:hideMark/>
                </w:tcPr>
                <w:p w14:paraId="24F79153" w14:textId="77777777" w:rsidR="00AA0373" w:rsidRPr="00DB35D6" w:rsidRDefault="00AA0373" w:rsidP="00103531">
                  <w:pPr>
                    <w:rPr>
                      <w:rFonts w:ascii="Times New Roman" w:eastAsia="Times New Roman" w:hAnsi="Times New Roman" w:cs="Times New Roman"/>
                      <w:sz w:val="24"/>
                      <w:szCs w:val="24"/>
                    </w:rPr>
                  </w:pPr>
                  <w:r w:rsidRPr="00DB35D6">
                    <w:rPr>
                      <w:rFonts w:ascii="&amp;quot" w:eastAsia="Times New Roman" w:hAnsi="&amp;quot" w:cs="Times New Roman"/>
                      <w:sz w:val="24"/>
                      <w:szCs w:val="24"/>
                    </w:rPr>
                    <w:t>18.3.2.2 Occupancy</w:t>
                  </w:r>
                </w:p>
              </w:tc>
              <w:tc>
                <w:tcPr>
                  <w:tcW w:w="2197" w:type="pct"/>
                  <w:vAlign w:val="center"/>
                  <w:hideMark/>
                </w:tcPr>
                <w:p w14:paraId="488EEAA1" w14:textId="79E5B4CB" w:rsidR="00AA0373" w:rsidRPr="00DB35D6" w:rsidRDefault="00AA0373" w:rsidP="00103531">
                  <w:pPr>
                    <w:rPr>
                      <w:rFonts w:ascii="Times New Roman" w:eastAsia="Times New Roman" w:hAnsi="Times New Roman" w:cs="Times New Roman"/>
                      <w:sz w:val="24"/>
                      <w:szCs w:val="24"/>
                    </w:rPr>
                  </w:pPr>
                  <w:r w:rsidRPr="00DB35D6">
                    <w:rPr>
                      <w:rFonts w:ascii="&amp;quot" w:eastAsia="Times New Roman" w:hAnsi="&amp;quot" w:cs="Times New Roman"/>
                      <w:sz w:val="24"/>
                      <w:szCs w:val="24"/>
                    </w:rPr>
                    <w:t>Paper As</w:t>
                  </w:r>
                  <w:r w:rsidRPr="002360D2">
                    <w:rPr>
                      <w:rFonts w:ascii="&amp;quot" w:eastAsia="Times New Roman" w:hAnsi="&amp;quot" w:cs="Times New Roman"/>
                      <w:sz w:val="24"/>
                      <w:szCs w:val="24"/>
                    </w:rPr>
                    <w:t>sisted Personal Interview</w:t>
                  </w:r>
                  <w:r w:rsidR="00D1061A" w:rsidRPr="002360D2">
                    <w:rPr>
                      <w:rFonts w:ascii="&amp;quot" w:eastAsia="Times New Roman" w:hAnsi="&amp;quot" w:cs="Times New Roman"/>
                      <w:sz w:val="24"/>
                      <w:szCs w:val="24"/>
                    </w:rPr>
                    <w:t xml:space="preserve">, </w:t>
                  </w:r>
                  <w:r w:rsidR="000C229C" w:rsidRPr="002360D2">
                    <w:rPr>
                      <w:rFonts w:ascii="&amp;quot" w:eastAsia="Times New Roman" w:hAnsi="&amp;quot" w:cs="Times New Roman"/>
                      <w:sz w:val="24"/>
                      <w:szCs w:val="24"/>
                    </w:rPr>
                    <w:t xml:space="preserve">Enterprise </w:t>
                  </w:r>
                  <w:r w:rsidR="00D1061A" w:rsidRPr="002360D2">
                    <w:rPr>
                      <w:rFonts w:ascii="&amp;quot" w:eastAsia="Times New Roman" w:hAnsi="&amp;quot" w:cs="Times New Roman"/>
                      <w:sz w:val="24"/>
                      <w:szCs w:val="24"/>
                    </w:rPr>
                    <w:t>Telephone Interview</w:t>
                  </w:r>
                </w:p>
              </w:tc>
            </w:tr>
            <w:tr w:rsidR="00AA0373" w:rsidRPr="00DB35D6" w14:paraId="4B81562E" w14:textId="77777777" w:rsidTr="00103531">
              <w:tc>
                <w:tcPr>
                  <w:tcW w:w="2803" w:type="pct"/>
                  <w:vAlign w:val="center"/>
                  <w:hideMark/>
                </w:tcPr>
                <w:p w14:paraId="048DC059" w14:textId="77777777" w:rsidR="00AA0373" w:rsidRPr="00DB35D6" w:rsidRDefault="00AA0373" w:rsidP="00103531">
                  <w:pPr>
                    <w:rPr>
                      <w:rFonts w:ascii="Times New Roman" w:eastAsia="Times New Roman" w:hAnsi="Times New Roman" w:cs="Times New Roman"/>
                      <w:sz w:val="24"/>
                      <w:szCs w:val="24"/>
                    </w:rPr>
                  </w:pPr>
                  <w:r w:rsidRPr="00DB35D6">
                    <w:rPr>
                      <w:rFonts w:ascii="&amp;quot" w:eastAsia="Times New Roman" w:hAnsi="&amp;quot" w:cs="Times New Roman"/>
                      <w:sz w:val="24"/>
                      <w:szCs w:val="24"/>
                    </w:rPr>
                    <w:t>18.3.2.3 If other or additional comments (e.g. differences per NACE class), please specify</w:t>
                  </w:r>
                </w:p>
              </w:tc>
              <w:tc>
                <w:tcPr>
                  <w:tcW w:w="2197" w:type="pct"/>
                  <w:vAlign w:val="center"/>
                  <w:hideMark/>
                </w:tcPr>
                <w:p w14:paraId="4D18CD1B" w14:textId="77777777" w:rsidR="00AA0373" w:rsidRPr="00DB35D6" w:rsidRDefault="00AA0373" w:rsidP="00103531">
                  <w:pPr>
                    <w:rPr>
                      <w:rFonts w:ascii="Times New Roman" w:eastAsia="Times New Roman" w:hAnsi="Times New Roman" w:cs="Times New Roman"/>
                      <w:sz w:val="24"/>
                      <w:szCs w:val="24"/>
                    </w:rPr>
                  </w:pPr>
                </w:p>
              </w:tc>
            </w:tr>
            <w:tr w:rsidR="00AA0373" w:rsidRPr="00DB35D6" w14:paraId="37C85DEE" w14:textId="77777777" w:rsidTr="00103531">
              <w:tc>
                <w:tcPr>
                  <w:tcW w:w="2803" w:type="pct"/>
                  <w:vAlign w:val="center"/>
                  <w:hideMark/>
                </w:tcPr>
                <w:p w14:paraId="3BD40697" w14:textId="77777777" w:rsidR="00AA0373" w:rsidRPr="00DB35D6" w:rsidRDefault="00AA0373" w:rsidP="00103531">
                  <w:pPr>
                    <w:rPr>
                      <w:rFonts w:ascii="Times New Roman" w:eastAsia="Times New Roman" w:hAnsi="Times New Roman" w:cs="Times New Roman"/>
                      <w:sz w:val="24"/>
                      <w:szCs w:val="24"/>
                    </w:rPr>
                  </w:pPr>
                  <w:r w:rsidRPr="00DB35D6">
                    <w:rPr>
                      <w:rFonts w:ascii="&amp;quot" w:eastAsia="Times New Roman" w:hAnsi="&amp;quot" w:cs="Times New Roman"/>
                      <w:sz w:val="24"/>
                      <w:szCs w:val="24"/>
                    </w:rPr>
                    <w:t>18.3.2.4 If a combination of data collection methods is used, please indicate the share of reporting establishments per method (as well as their share in total nights spent)</w:t>
                  </w:r>
                </w:p>
              </w:tc>
              <w:tc>
                <w:tcPr>
                  <w:tcW w:w="2197" w:type="pct"/>
                  <w:vAlign w:val="center"/>
                </w:tcPr>
                <w:p w14:paraId="500DAD90" w14:textId="77777777" w:rsidR="00AA0373" w:rsidRPr="00DB35D6" w:rsidRDefault="00AA0373" w:rsidP="00103531">
                  <w:pPr>
                    <w:rPr>
                      <w:rFonts w:ascii="Times New Roman" w:eastAsia="Times New Roman" w:hAnsi="Times New Roman" w:cs="Times New Roman"/>
                      <w:sz w:val="24"/>
                      <w:szCs w:val="24"/>
                    </w:rPr>
                  </w:pPr>
                </w:p>
              </w:tc>
            </w:tr>
            <w:tr w:rsidR="00AA0373" w:rsidRPr="00DB35D6" w14:paraId="48715501" w14:textId="77777777" w:rsidTr="00103531">
              <w:tc>
                <w:tcPr>
                  <w:tcW w:w="2803" w:type="pct"/>
                  <w:vAlign w:val="center"/>
                  <w:hideMark/>
                </w:tcPr>
                <w:p w14:paraId="1CC84D87" w14:textId="77777777" w:rsidR="00AA0373" w:rsidRPr="00DB35D6" w:rsidRDefault="00AA0373" w:rsidP="00103531">
                  <w:pPr>
                    <w:rPr>
                      <w:rFonts w:ascii="Times New Roman" w:eastAsia="Times New Roman" w:hAnsi="Times New Roman" w:cs="Times New Roman"/>
                      <w:sz w:val="24"/>
                      <w:szCs w:val="24"/>
                    </w:rPr>
                  </w:pPr>
                  <w:r w:rsidRPr="00DB35D6">
                    <w:rPr>
                      <w:rFonts w:ascii="&amp;quot" w:eastAsia="Times New Roman" w:hAnsi="&amp;quot" w:cs="Times New Roman"/>
                      <w:sz w:val="24"/>
                      <w:szCs w:val="24"/>
                    </w:rPr>
                    <w:t>18.3.2.5 Questionnaire in national language (Annex/Link)</w:t>
                  </w:r>
                </w:p>
              </w:tc>
              <w:tc>
                <w:tcPr>
                  <w:tcW w:w="2197" w:type="pct"/>
                  <w:vAlign w:val="center"/>
                </w:tcPr>
                <w:p w14:paraId="4B52F442" w14:textId="77777777" w:rsidR="00AA0373" w:rsidRPr="00DB35D6" w:rsidRDefault="00AA0373" w:rsidP="00103531">
                  <w:pPr>
                    <w:spacing w:before="30" w:after="30"/>
                    <w:rPr>
                      <w:rFonts w:ascii="Times New Roman" w:eastAsia="Times New Roman" w:hAnsi="Times New Roman" w:cs="Times New Roman"/>
                      <w:sz w:val="24"/>
                      <w:szCs w:val="24"/>
                    </w:rPr>
                  </w:pPr>
                </w:p>
              </w:tc>
            </w:tr>
            <w:tr w:rsidR="00AA0373" w:rsidRPr="00DB35D6" w14:paraId="0C18DA03" w14:textId="77777777" w:rsidTr="00103531">
              <w:tc>
                <w:tcPr>
                  <w:tcW w:w="2803" w:type="pct"/>
                  <w:vAlign w:val="center"/>
                  <w:hideMark/>
                </w:tcPr>
                <w:p w14:paraId="3ED6D6B6" w14:textId="77777777" w:rsidR="00AA0373" w:rsidRPr="00DB35D6" w:rsidRDefault="00AA0373" w:rsidP="00103531">
                  <w:pPr>
                    <w:rPr>
                      <w:rFonts w:ascii="Times New Roman" w:eastAsia="Times New Roman" w:hAnsi="Times New Roman" w:cs="Times New Roman"/>
                      <w:sz w:val="24"/>
                      <w:szCs w:val="24"/>
                    </w:rPr>
                  </w:pPr>
                  <w:r w:rsidRPr="00DB35D6">
                    <w:rPr>
                      <w:rFonts w:ascii="&amp;quot" w:eastAsia="Times New Roman" w:hAnsi="&amp;quot" w:cs="Times New Roman"/>
                      <w:sz w:val="24"/>
                      <w:szCs w:val="24"/>
                    </w:rPr>
                    <w:t>18.3.2.6 Questionnaire in English (Annex/Link)</w:t>
                  </w:r>
                </w:p>
              </w:tc>
              <w:tc>
                <w:tcPr>
                  <w:tcW w:w="2197" w:type="pct"/>
                  <w:vAlign w:val="center"/>
                  <w:hideMark/>
                </w:tcPr>
                <w:p w14:paraId="52F7EBAB" w14:textId="77777777" w:rsidR="00AA0373" w:rsidRPr="00DB35D6" w:rsidRDefault="00AA0373" w:rsidP="00103531">
                  <w:pPr>
                    <w:spacing w:before="30" w:after="30"/>
                    <w:rPr>
                      <w:rFonts w:ascii="Times New Roman" w:eastAsia="Times New Roman" w:hAnsi="Times New Roman" w:cs="Times New Roman"/>
                      <w:sz w:val="24"/>
                      <w:szCs w:val="24"/>
                    </w:rPr>
                  </w:pPr>
                </w:p>
              </w:tc>
            </w:tr>
            <w:tr w:rsidR="00860902" w:rsidRPr="00DB35D6" w14:paraId="05180B3F" w14:textId="77777777" w:rsidTr="00103531">
              <w:tc>
                <w:tcPr>
                  <w:tcW w:w="2803" w:type="pct"/>
                  <w:vAlign w:val="center"/>
                  <w:hideMark/>
                </w:tcPr>
                <w:p w14:paraId="3070653B" w14:textId="77777777" w:rsidR="00860902" w:rsidRPr="00DB35D6" w:rsidRDefault="00860902" w:rsidP="00103531">
                  <w:pPr>
                    <w:rPr>
                      <w:rFonts w:ascii="Times New Roman" w:eastAsia="Times New Roman" w:hAnsi="Times New Roman" w:cs="Times New Roman"/>
                      <w:sz w:val="24"/>
                      <w:szCs w:val="24"/>
                    </w:rPr>
                  </w:pPr>
                  <w:r w:rsidRPr="00DB35D6">
                    <w:rPr>
                      <w:rFonts w:ascii="&amp;quot" w:eastAsia="Times New Roman" w:hAnsi="&amp;quot" w:cs="Times New Roman"/>
                      <w:sz w:val="24"/>
                      <w:szCs w:val="24"/>
                    </w:rPr>
                    <w:t>18.3.2.7 Interviewer instructions in English (Annex/Link)</w:t>
                  </w:r>
                </w:p>
              </w:tc>
              <w:tc>
                <w:tcPr>
                  <w:tcW w:w="2197" w:type="pct"/>
                  <w:vAlign w:val="center"/>
                  <w:hideMark/>
                </w:tcPr>
                <w:p w14:paraId="62E84E7D" w14:textId="77777777" w:rsidR="00860902" w:rsidRPr="00DB35D6" w:rsidRDefault="00860902" w:rsidP="00A01DA2">
                  <w:pPr>
                    <w:rPr>
                      <w:rFonts w:ascii="Times New Roman" w:eastAsia="Times New Roman" w:hAnsi="Times New Roman" w:cs="Times New Roman"/>
                      <w:sz w:val="24"/>
                      <w:szCs w:val="24"/>
                    </w:rPr>
                  </w:pPr>
                </w:p>
              </w:tc>
            </w:tr>
          </w:tbl>
          <w:p w14:paraId="067430B4" w14:textId="77777777" w:rsidR="00DB35D6" w:rsidRPr="00493D72" w:rsidRDefault="00DB35D6" w:rsidP="00C67F19">
            <w:pPr>
              <w:spacing w:after="0" w:line="240" w:lineRule="auto"/>
              <w:ind w:left="101" w:right="86"/>
              <w:jc w:val="both"/>
              <w:rPr>
                <w:rFonts w:ascii="Times New Roman" w:eastAsia="Times New Roman" w:hAnsi="Times New Roman" w:cs="Times New Roman"/>
                <w:noProof/>
                <w:color w:val="000000"/>
                <w:sz w:val="24"/>
                <w:szCs w:val="24"/>
                <w:lang w:val="sq-AL" w:eastAsia="sq-AL"/>
              </w:rPr>
            </w:pPr>
          </w:p>
        </w:tc>
      </w:tr>
      <w:tr w:rsidR="00473EF5" w:rsidRPr="00493D72" w14:paraId="442EF8CC" w14:textId="77777777" w:rsidTr="00EA1937">
        <w:trPr>
          <w:trHeight w:val="7370"/>
        </w:trPr>
        <w:tc>
          <w:tcPr>
            <w:tcW w:w="2371" w:type="dxa"/>
            <w:shd w:val="clear" w:color="auto" w:fill="FFFFCC"/>
            <w:vAlign w:val="center"/>
            <w:hideMark/>
          </w:tcPr>
          <w:p w14:paraId="05789A6F"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18.4. Data validation</w:t>
            </w:r>
          </w:p>
        </w:tc>
        <w:tc>
          <w:tcPr>
            <w:tcW w:w="8311"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2"/>
              <w:gridCol w:w="6391"/>
            </w:tblGrid>
            <w:tr w:rsidR="00AA0373" w:rsidRPr="00DB35D6" w14:paraId="1E298387" w14:textId="77777777" w:rsidTr="00860902">
              <w:tc>
                <w:tcPr>
                  <w:tcW w:w="1050" w:type="pct"/>
                  <w:vAlign w:val="center"/>
                  <w:hideMark/>
                </w:tcPr>
                <w:p w14:paraId="7EC95881" w14:textId="77777777" w:rsidR="00AA0373" w:rsidRPr="00DB35D6" w:rsidRDefault="00AA0373" w:rsidP="00860902">
                  <w:pPr>
                    <w:rPr>
                      <w:rFonts w:ascii="Times New Roman" w:eastAsia="Times New Roman" w:hAnsi="Times New Roman" w:cs="Times New Roman"/>
                      <w:color w:val="000000"/>
                      <w:sz w:val="24"/>
                      <w:szCs w:val="24"/>
                    </w:rPr>
                  </w:pPr>
                  <w:r w:rsidRPr="00DB35D6">
                    <w:rPr>
                      <w:rFonts w:ascii="&amp;quot" w:eastAsia="Times New Roman" w:hAnsi="&amp;quot" w:cs="Times New Roman"/>
                      <w:color w:val="000000"/>
                      <w:sz w:val="24"/>
                      <w:szCs w:val="24"/>
                    </w:rPr>
                    <w:t>18.4.1 Capacity </w:t>
                  </w:r>
                </w:p>
              </w:tc>
              <w:tc>
                <w:tcPr>
                  <w:tcW w:w="3900" w:type="pct"/>
                  <w:hideMark/>
                </w:tcPr>
                <w:p w14:paraId="0D55584F" w14:textId="77777777" w:rsidR="00AA0373" w:rsidRPr="00DB35D6" w:rsidRDefault="004175C8" w:rsidP="004175C8">
                  <w:pPr>
                    <w:spacing w:before="30" w:after="30"/>
                    <w:jc w:val="both"/>
                    <w:rPr>
                      <w:rFonts w:ascii="Times New Roman" w:eastAsia="Times New Roman" w:hAnsi="Times New Roman" w:cs="Times New Roman"/>
                      <w:color w:val="000000"/>
                      <w:sz w:val="24"/>
                      <w:szCs w:val="24"/>
                    </w:rPr>
                  </w:pPr>
                  <w:r w:rsidRPr="004175C8">
                    <w:rPr>
                      <w:rFonts w:ascii="Times New Roman" w:eastAsia="Times New Roman" w:hAnsi="Times New Roman" w:cs="Times New Roman"/>
                      <w:color w:val="000000"/>
                      <w:sz w:val="24"/>
                      <w:szCs w:val="24"/>
                    </w:rPr>
                    <w:t>For enterprises that complete the monthly questionnaire, there are a number of cross-validation pre-checks in order to limit data entry errors in the program. If any error is found, INSTAT first contacts the enumerator, the regional office, and finally the respondent and the error is edited. Once the data is entered to the central database, a considerable number of estimates, cross-sectional and longitudinal checks are applied and for each possible edit a note is placed in the dedicated "Notes" section. If again after this phase errors or inconsistencies are found in the individual data of the enterprises, the contact process resumes first with the respondent, the regional office, and finally with the respondent, the error is edited and again for each possible edit a note is placed in dedicated to “Notes”.</w:t>
                  </w:r>
                </w:p>
              </w:tc>
            </w:tr>
            <w:tr w:rsidR="00AA0373" w:rsidRPr="00DB35D6" w14:paraId="7D249220" w14:textId="77777777" w:rsidTr="00860902">
              <w:tc>
                <w:tcPr>
                  <w:tcW w:w="1050" w:type="pct"/>
                  <w:vAlign w:val="center"/>
                  <w:hideMark/>
                </w:tcPr>
                <w:p w14:paraId="39A787B1" w14:textId="77777777" w:rsidR="00AA0373" w:rsidRPr="00DB35D6" w:rsidRDefault="00622CE2" w:rsidP="00860902">
                  <w:pPr>
                    <w:rPr>
                      <w:rFonts w:ascii="Times New Roman" w:eastAsia="Times New Roman" w:hAnsi="Times New Roman" w:cs="Times New Roman"/>
                      <w:color w:val="000000"/>
                      <w:sz w:val="24"/>
                      <w:szCs w:val="24"/>
                    </w:rPr>
                  </w:pPr>
                  <w:r>
                    <w:rPr>
                      <w:rFonts w:ascii="&amp;quot" w:eastAsia="Times New Roman" w:hAnsi="&amp;quot" w:cs="Times New Roman"/>
                      <w:color w:val="000000"/>
                      <w:sz w:val="24"/>
                      <w:szCs w:val="24"/>
                    </w:rPr>
                    <w:t>18.4.2</w:t>
                  </w:r>
                  <w:r w:rsidR="004175C8">
                    <w:rPr>
                      <w:rFonts w:ascii="&amp;quot" w:eastAsia="Times New Roman" w:hAnsi="&amp;quot" w:cs="Times New Roman"/>
                      <w:color w:val="000000"/>
                      <w:sz w:val="24"/>
                      <w:szCs w:val="24"/>
                    </w:rPr>
                    <w:t xml:space="preserve"> </w:t>
                  </w:r>
                  <w:r w:rsidR="00AA0373" w:rsidRPr="00DB35D6">
                    <w:rPr>
                      <w:rFonts w:ascii="&amp;quot" w:eastAsia="Times New Roman" w:hAnsi="&amp;quot" w:cs="Times New Roman"/>
                      <w:color w:val="000000"/>
                      <w:sz w:val="24"/>
                      <w:szCs w:val="24"/>
                    </w:rPr>
                    <w:t>Occupancy </w:t>
                  </w:r>
                </w:p>
              </w:tc>
              <w:tc>
                <w:tcPr>
                  <w:tcW w:w="3900" w:type="pct"/>
                  <w:hideMark/>
                </w:tcPr>
                <w:p w14:paraId="6B0D6D3C" w14:textId="77777777" w:rsidR="00AA0373" w:rsidRPr="00DB35D6" w:rsidRDefault="004175C8" w:rsidP="00F95525">
                  <w:pPr>
                    <w:spacing w:before="30" w:after="30"/>
                    <w:jc w:val="both"/>
                    <w:rPr>
                      <w:rFonts w:ascii="Times New Roman" w:eastAsia="Times New Roman" w:hAnsi="Times New Roman" w:cs="Times New Roman"/>
                      <w:color w:val="000000"/>
                      <w:sz w:val="24"/>
                      <w:szCs w:val="24"/>
                    </w:rPr>
                  </w:pPr>
                  <w:r w:rsidRPr="004175C8">
                    <w:rPr>
                      <w:rFonts w:ascii="Times New Roman" w:eastAsia="Times New Roman" w:hAnsi="Times New Roman" w:cs="Times New Roman"/>
                      <w:color w:val="000000"/>
                      <w:sz w:val="24"/>
                      <w:szCs w:val="24"/>
                    </w:rPr>
                    <w:t>For enterprises that complete the monthly questionnaire, there are a number of cross-validation pre-checks in order to limit data entry errors in the program. If any error is found, INSTAT first contacts the enumerator, the regional office, and finally the respondent and the error is edited. Once the data is entered to the central database, a considerable number of estimates, cross-sectional and longitudinal checks are applied and for each possible edit a note is placed in the dedicated "Notes" section. If again after this phase errors or inconsistencies are found in the individual data of the enterprises, the contact process resumes first with the respondent, the regional office, an</w:t>
                  </w:r>
                  <w:r w:rsidR="00671850">
                    <w:rPr>
                      <w:rFonts w:ascii="Times New Roman" w:eastAsia="Times New Roman" w:hAnsi="Times New Roman" w:cs="Times New Roman"/>
                      <w:color w:val="000000"/>
                      <w:sz w:val="24"/>
                      <w:szCs w:val="24"/>
                    </w:rPr>
                    <w:t>d finally with the respondent. T</w:t>
                  </w:r>
                  <w:r w:rsidRPr="004175C8">
                    <w:rPr>
                      <w:rFonts w:ascii="Times New Roman" w:eastAsia="Times New Roman" w:hAnsi="Times New Roman" w:cs="Times New Roman"/>
                      <w:color w:val="000000"/>
                      <w:sz w:val="24"/>
                      <w:szCs w:val="24"/>
                    </w:rPr>
                    <w:t>he error is edited and again for each possible edit a note is placed in dedicated to “Notes”.</w:t>
                  </w:r>
                </w:p>
              </w:tc>
            </w:tr>
          </w:tbl>
          <w:p w14:paraId="7F06D539" w14:textId="77777777" w:rsidR="002318B3" w:rsidRPr="002318B3" w:rsidRDefault="002318B3" w:rsidP="00AA0373">
            <w:pPr>
              <w:spacing w:before="120" w:after="120" w:line="240" w:lineRule="auto"/>
              <w:ind w:right="86"/>
              <w:jc w:val="both"/>
            </w:pPr>
          </w:p>
        </w:tc>
      </w:tr>
      <w:tr w:rsidR="00473EF5" w:rsidRPr="00493D72" w14:paraId="55FD2BEB" w14:textId="77777777" w:rsidTr="00EA1937">
        <w:trPr>
          <w:trHeight w:val="567"/>
        </w:trPr>
        <w:tc>
          <w:tcPr>
            <w:tcW w:w="2371" w:type="dxa"/>
            <w:shd w:val="clear" w:color="auto" w:fill="FFFFCC"/>
            <w:vAlign w:val="center"/>
            <w:hideMark/>
          </w:tcPr>
          <w:p w14:paraId="590B8525" w14:textId="77777777" w:rsidR="00473EF5" w:rsidRPr="00493D72" w:rsidRDefault="00473EF5"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18.5. Data compilation </w:t>
            </w:r>
          </w:p>
        </w:tc>
        <w:tc>
          <w:tcPr>
            <w:tcW w:w="8311" w:type="dxa"/>
            <w:shd w:val="clear" w:color="auto" w:fill="auto"/>
            <w:vAlign w:val="center"/>
          </w:tcPr>
          <w:p w14:paraId="29FFD0E2" w14:textId="49993872" w:rsidR="00473EF5" w:rsidRPr="00DB35D6" w:rsidRDefault="00477363" w:rsidP="0042346C">
            <w:pPr>
              <w:spacing w:before="240"/>
              <w:jc w:val="both"/>
              <w:rPr>
                <w:rFonts w:ascii="Times New Roman" w:eastAsia="Times New Roman" w:hAnsi="Times New Roman" w:cs="Times New Roman"/>
                <w:noProof/>
                <w:color w:val="000000"/>
                <w:sz w:val="24"/>
                <w:szCs w:val="24"/>
                <w:lang w:val="sq-AL" w:eastAsia="sq-AL"/>
              </w:rPr>
            </w:pPr>
            <w:r w:rsidRPr="00477363">
              <w:rPr>
                <w:rFonts w:ascii="Times New Roman" w:eastAsia="Times New Roman" w:hAnsi="Times New Roman" w:cs="Times New Roman"/>
                <w:noProof/>
                <w:color w:val="000000"/>
                <w:sz w:val="24"/>
                <w:szCs w:val="24"/>
                <w:lang w:val="sq-AL" w:eastAsia="sq-AL"/>
              </w:rPr>
              <w:t>Missing data at the enterprise level are imputed using appropriate mathematical methods with data from pr</w:t>
            </w:r>
            <w:r w:rsidR="0037105B">
              <w:rPr>
                <w:rFonts w:ascii="Times New Roman" w:eastAsia="Times New Roman" w:hAnsi="Times New Roman" w:cs="Times New Roman"/>
                <w:noProof/>
                <w:color w:val="000000"/>
                <w:sz w:val="24"/>
                <w:szCs w:val="24"/>
                <w:lang w:val="sq-AL" w:eastAsia="sq-AL"/>
              </w:rPr>
              <w:t>evious periods. Sometimes un</w:t>
            </w:r>
            <w:r w:rsidRPr="00477363">
              <w:rPr>
                <w:rFonts w:ascii="Times New Roman" w:eastAsia="Times New Roman" w:hAnsi="Times New Roman" w:cs="Times New Roman"/>
                <w:noProof/>
                <w:color w:val="000000"/>
                <w:sz w:val="24"/>
                <w:szCs w:val="24"/>
                <w:lang w:val="sq-AL" w:eastAsia="sq-AL"/>
              </w:rPr>
              <w:t xml:space="preserve">sustainable enterprise-level data or indicators are identified that need to be deleted. The next step is imputation </w:t>
            </w:r>
            <w:r w:rsidRPr="00477363">
              <w:rPr>
                <w:rFonts w:ascii="Times New Roman" w:eastAsia="Times New Roman" w:hAnsi="Times New Roman" w:cs="Times New Roman"/>
                <w:noProof/>
                <w:color w:val="000000"/>
                <w:sz w:val="24"/>
                <w:szCs w:val="24"/>
                <w:lang w:val="sq-AL" w:eastAsia="sq-AL"/>
              </w:rPr>
              <w:lastRenderedPageBreak/>
              <w:t>at the enterprise-level level or indicator as appropriate, using data from previous periods. In some cases, mathematical techniques (hot deck imputation) are also used. Whenever large hotels do not respond, missing information cannot be covered by weights; therefore we need to put all of its information in the data set. And this is done again through past data and statistical techniques.</w:t>
            </w:r>
          </w:p>
        </w:tc>
      </w:tr>
      <w:tr w:rsidR="00223F89" w:rsidRPr="00493D72" w14:paraId="2A79BF8D" w14:textId="77777777" w:rsidTr="00EA1937">
        <w:trPr>
          <w:trHeight w:val="567"/>
        </w:trPr>
        <w:tc>
          <w:tcPr>
            <w:tcW w:w="2371" w:type="dxa"/>
            <w:shd w:val="clear" w:color="auto" w:fill="FFFFCC"/>
            <w:vAlign w:val="center"/>
            <w:hideMark/>
          </w:tcPr>
          <w:p w14:paraId="6C8AAA97" w14:textId="77777777" w:rsidR="00223F89" w:rsidRPr="00493D72" w:rsidRDefault="00223F89" w:rsidP="00493D72">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lastRenderedPageBreak/>
              <w:t xml:space="preserve">18.6. </w:t>
            </w:r>
            <w:r w:rsidR="00531088" w:rsidRPr="00493D72">
              <w:rPr>
                <w:rFonts w:ascii="Times New Roman" w:hAnsi="Times New Roman" w:cs="Times New Roman"/>
                <w:noProof/>
                <w:sz w:val="24"/>
                <w:szCs w:val="24"/>
                <w:lang w:val="sq-AL"/>
              </w:rPr>
              <w:t>Adjustment</w:t>
            </w:r>
          </w:p>
        </w:tc>
        <w:tc>
          <w:tcPr>
            <w:tcW w:w="8311" w:type="dxa"/>
            <w:shd w:val="clear" w:color="auto" w:fill="auto"/>
            <w:noWrap/>
            <w:vAlign w:val="center"/>
            <w:hideMark/>
          </w:tcPr>
          <w:p w14:paraId="1EBF42FE" w14:textId="77777777" w:rsidR="00223F89" w:rsidRPr="002F2BB0" w:rsidRDefault="00DB35D6" w:rsidP="00EF53F3">
            <w:pPr>
              <w:spacing w:before="120" w:after="120" w:line="240" w:lineRule="auto"/>
              <w:ind w:right="86"/>
              <w:jc w:val="both"/>
              <w:rPr>
                <w:rFonts w:ascii="Times New Roman" w:eastAsia="Times New Roman" w:hAnsi="Times New Roman" w:cs="Times New Roman"/>
                <w:noProof/>
                <w:color w:val="000000"/>
                <w:sz w:val="24"/>
                <w:szCs w:val="24"/>
                <w:lang w:val="sq-AL" w:eastAsia="sq-AL"/>
              </w:rPr>
            </w:pPr>
            <w:r w:rsidRPr="002F2BB0">
              <w:rPr>
                <w:rFonts w:ascii="Times New Roman" w:eastAsia="Times New Roman" w:hAnsi="Times New Roman" w:cs="Times New Roman"/>
                <w:noProof/>
                <w:color w:val="000000"/>
                <w:sz w:val="24"/>
                <w:szCs w:val="24"/>
                <w:lang w:val="sq-AL" w:eastAsia="sq-AL"/>
              </w:rPr>
              <w:t>Not ap</w:t>
            </w:r>
            <w:r w:rsidR="00304CA4" w:rsidRPr="002F2BB0">
              <w:rPr>
                <w:rFonts w:ascii="Times New Roman" w:eastAsia="Times New Roman" w:hAnsi="Times New Roman" w:cs="Times New Roman"/>
                <w:noProof/>
                <w:color w:val="000000"/>
                <w:sz w:val="24"/>
                <w:szCs w:val="24"/>
                <w:lang w:val="sq-AL" w:eastAsia="sq-AL"/>
              </w:rPr>
              <w:t>p</w:t>
            </w:r>
            <w:r w:rsidRPr="002F2BB0">
              <w:rPr>
                <w:rFonts w:ascii="Times New Roman" w:eastAsia="Times New Roman" w:hAnsi="Times New Roman" w:cs="Times New Roman"/>
                <w:noProof/>
                <w:color w:val="000000"/>
                <w:sz w:val="24"/>
                <w:szCs w:val="24"/>
                <w:lang w:val="sq-AL" w:eastAsia="sq-AL"/>
              </w:rPr>
              <w:t>licable.</w:t>
            </w:r>
          </w:p>
        </w:tc>
      </w:tr>
      <w:tr w:rsidR="00223F89" w:rsidRPr="00493D72" w14:paraId="7B337537" w14:textId="77777777" w:rsidTr="00EA1937">
        <w:trPr>
          <w:trHeight w:val="567"/>
        </w:trPr>
        <w:tc>
          <w:tcPr>
            <w:tcW w:w="2371" w:type="dxa"/>
            <w:shd w:val="clear" w:color="auto" w:fill="FBD4B4" w:themeFill="accent6" w:themeFillTint="66"/>
            <w:vAlign w:val="center"/>
            <w:hideMark/>
          </w:tcPr>
          <w:p w14:paraId="1BB63D52" w14:textId="77777777" w:rsidR="00223F89" w:rsidRPr="00493D72" w:rsidRDefault="00223F89"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8" w:name="_Toc69202506"/>
            <w:r w:rsidRPr="00493D72">
              <w:rPr>
                <w:rFonts w:ascii="Times New Roman" w:eastAsia="Times New Roman" w:hAnsi="Times New Roman" w:cs="Times New Roman"/>
                <w:noProof/>
                <w:color w:val="000000" w:themeColor="text1"/>
                <w:sz w:val="24"/>
                <w:szCs w:val="24"/>
                <w:lang w:val="sq-AL" w:eastAsia="sq-AL"/>
              </w:rPr>
              <w:t xml:space="preserve">19. </w:t>
            </w:r>
            <w:r w:rsidR="00531088" w:rsidRPr="00493D72">
              <w:rPr>
                <w:rFonts w:ascii="Times New Roman" w:eastAsia="Times New Roman" w:hAnsi="Times New Roman" w:cs="Times New Roman"/>
                <w:noProof/>
                <w:color w:val="000000" w:themeColor="text1"/>
                <w:sz w:val="24"/>
                <w:szCs w:val="24"/>
                <w:lang w:val="sq-AL" w:eastAsia="sq-AL"/>
              </w:rPr>
              <w:t>Comment</w:t>
            </w:r>
            <w:bookmarkEnd w:id="18"/>
          </w:p>
        </w:tc>
        <w:tc>
          <w:tcPr>
            <w:tcW w:w="8311" w:type="dxa"/>
            <w:shd w:val="clear" w:color="auto" w:fill="auto"/>
            <w:noWrap/>
            <w:vAlign w:val="center"/>
            <w:hideMark/>
          </w:tcPr>
          <w:p w14:paraId="1CE753AF" w14:textId="77777777" w:rsidR="000C229C" w:rsidRPr="002360D2" w:rsidRDefault="000C229C" w:rsidP="000C229C">
            <w:pPr>
              <w:spacing w:before="120" w:after="120" w:line="240" w:lineRule="auto"/>
              <w:ind w:right="86"/>
              <w:jc w:val="both"/>
              <w:rPr>
                <w:rFonts w:ascii="Times New Roman" w:eastAsia="Times New Roman" w:hAnsi="Times New Roman" w:cs="Times New Roman"/>
                <w:noProof/>
                <w:sz w:val="24"/>
                <w:szCs w:val="24"/>
                <w:lang w:val="sq-AL" w:eastAsia="sq-AL"/>
              </w:rPr>
            </w:pPr>
            <w:r w:rsidRPr="002360D2">
              <w:rPr>
                <w:rFonts w:ascii="Times New Roman" w:eastAsia="Times New Roman" w:hAnsi="Times New Roman" w:cs="Times New Roman"/>
                <w:noProof/>
                <w:sz w:val="24"/>
                <w:szCs w:val="24"/>
                <w:lang w:val="sq-AL" w:eastAsia="sq-AL"/>
              </w:rPr>
              <w:t>During 2020, Tourism Accommodation Statistics have been significantly affected by the global pandemic situation caused by COVID-19. Starting from March 11, 2020, it was declared a state of natural disaster throughout the Republic of Albania due to the epidemic caused by COVID-19. The beginning of the pandemic in Albania brought restrictions on the movement of Albanian and foreign citizens inside and outside the Albanian territory. April 2020 was the most affected month, where the economic activity of accommodation was closed due to the observance of quarantine procedures.</w:t>
            </w:r>
          </w:p>
          <w:p w14:paraId="395B3600" w14:textId="6E2E1FE9" w:rsidR="002414CE" w:rsidRPr="00D621E3" w:rsidRDefault="000C229C" w:rsidP="002360D2">
            <w:pPr>
              <w:spacing w:before="120" w:after="120" w:line="240" w:lineRule="auto"/>
              <w:ind w:right="86"/>
              <w:jc w:val="both"/>
              <w:rPr>
                <w:rFonts w:ascii="Times New Roman" w:eastAsia="Times New Roman" w:hAnsi="Times New Roman" w:cs="Times New Roman"/>
                <w:noProof/>
                <w:color w:val="FF0000"/>
                <w:sz w:val="24"/>
                <w:szCs w:val="24"/>
                <w:lang w:val="sq-AL" w:eastAsia="sq-AL"/>
              </w:rPr>
            </w:pPr>
            <w:r w:rsidRPr="002360D2">
              <w:rPr>
                <w:rFonts w:ascii="Times New Roman" w:eastAsia="Times New Roman" w:hAnsi="Times New Roman" w:cs="Times New Roman"/>
                <w:noProof/>
                <w:sz w:val="24"/>
                <w:szCs w:val="24"/>
                <w:lang w:val="sq-AL" w:eastAsia="sq-AL"/>
              </w:rPr>
              <w:t xml:space="preserve">This situation also affected the </w:t>
            </w:r>
            <w:r w:rsidR="002360D2" w:rsidRPr="002360D2">
              <w:rPr>
                <w:rFonts w:ascii="Times New Roman" w:eastAsia="Times New Roman" w:hAnsi="Times New Roman" w:cs="Times New Roman"/>
                <w:noProof/>
                <w:sz w:val="24"/>
                <w:szCs w:val="24"/>
                <w:lang w:val="sq-AL" w:eastAsia="sq-AL"/>
              </w:rPr>
              <w:t xml:space="preserve">data </w:t>
            </w:r>
            <w:bookmarkStart w:id="19" w:name="_GoBack"/>
            <w:bookmarkEnd w:id="19"/>
            <w:r w:rsidRPr="002360D2">
              <w:rPr>
                <w:rFonts w:ascii="Times New Roman" w:eastAsia="Times New Roman" w:hAnsi="Times New Roman" w:cs="Times New Roman"/>
                <w:noProof/>
                <w:sz w:val="24"/>
                <w:szCs w:val="24"/>
                <w:lang w:val="sq-AL" w:eastAsia="sq-AL"/>
              </w:rPr>
              <w:t>collection of fieldwork during April and May 2020. During this period the method of data collection changed from PAPI to telephone interviews.</w:t>
            </w:r>
          </w:p>
        </w:tc>
      </w:tr>
      <w:tr w:rsidR="00FB3602" w:rsidRPr="00493D72" w14:paraId="197FE596" w14:textId="77777777" w:rsidTr="00493D72">
        <w:trPr>
          <w:trHeight w:val="567"/>
        </w:trPr>
        <w:tc>
          <w:tcPr>
            <w:tcW w:w="0" w:type="auto"/>
            <w:gridSpan w:val="2"/>
            <w:shd w:val="clear" w:color="auto" w:fill="FBD4B4" w:themeFill="accent6" w:themeFillTint="66"/>
            <w:vAlign w:val="center"/>
            <w:hideMark/>
          </w:tcPr>
          <w:p w14:paraId="0024A94F" w14:textId="3719FF92" w:rsidR="00FB3602" w:rsidRPr="00493D72" w:rsidRDefault="00FB3602" w:rsidP="00493D72">
            <w:pPr>
              <w:pStyle w:val="Heading1"/>
              <w:spacing w:before="0"/>
              <w:rPr>
                <w:rFonts w:ascii="Times New Roman" w:eastAsia="Times New Roman" w:hAnsi="Times New Roman" w:cs="Times New Roman"/>
                <w:noProof/>
                <w:color w:val="000000"/>
                <w:sz w:val="24"/>
                <w:szCs w:val="24"/>
                <w:lang w:val="sq-AL" w:eastAsia="sq-AL"/>
              </w:rPr>
            </w:pPr>
            <w:bookmarkStart w:id="20" w:name="_Toc69202507"/>
            <w:r w:rsidRPr="00493D72">
              <w:rPr>
                <w:rFonts w:ascii="Times New Roman" w:eastAsia="Times New Roman" w:hAnsi="Times New Roman" w:cs="Times New Roman"/>
                <w:bCs w:val="0"/>
                <w:noProof/>
                <w:color w:val="000000"/>
                <w:sz w:val="24"/>
                <w:szCs w:val="24"/>
                <w:lang w:val="sq-AL" w:eastAsia="sq-AL"/>
              </w:rPr>
              <w:t>An</w:t>
            </w:r>
            <w:r w:rsidR="00531088" w:rsidRPr="00493D72">
              <w:rPr>
                <w:rFonts w:ascii="Times New Roman" w:eastAsia="Times New Roman" w:hAnsi="Times New Roman" w:cs="Times New Roman"/>
                <w:bCs w:val="0"/>
                <w:noProof/>
                <w:color w:val="000000"/>
                <w:sz w:val="24"/>
                <w:szCs w:val="24"/>
                <w:lang w:val="sq-AL" w:eastAsia="sq-AL"/>
              </w:rPr>
              <w:t>nex</w:t>
            </w:r>
            <w:bookmarkEnd w:id="20"/>
          </w:p>
        </w:tc>
      </w:tr>
      <w:tr w:rsidR="00FB3602" w:rsidRPr="00493D72" w14:paraId="7F39AC91" w14:textId="77777777" w:rsidTr="00493D72">
        <w:trPr>
          <w:trHeight w:val="567"/>
        </w:trPr>
        <w:tc>
          <w:tcPr>
            <w:tcW w:w="0" w:type="auto"/>
            <w:gridSpan w:val="2"/>
            <w:shd w:val="clear" w:color="auto" w:fill="auto"/>
            <w:vAlign w:val="center"/>
            <w:hideMark/>
          </w:tcPr>
          <w:p w14:paraId="5A977393" w14:textId="77777777" w:rsidR="00AA5505" w:rsidRPr="00AA5505" w:rsidRDefault="00AA5505" w:rsidP="00860902"/>
        </w:tc>
      </w:tr>
    </w:tbl>
    <w:p w14:paraId="43328146" w14:textId="77777777" w:rsidR="004F0B68" w:rsidRDefault="004F0B68" w:rsidP="00927716">
      <w:pPr>
        <w:tabs>
          <w:tab w:val="left" w:pos="4182"/>
        </w:tabs>
        <w:spacing w:after="0"/>
        <w:rPr>
          <w:rFonts w:ascii="Times New Roman" w:hAnsi="Times New Roman" w:cs="Times New Roman"/>
          <w:noProof/>
          <w:lang w:val="sq-AL"/>
        </w:rPr>
      </w:pPr>
    </w:p>
    <w:sectPr w:rsidR="004F0B68" w:rsidSect="0064501F">
      <w:headerReference w:type="default" r:id="rId33"/>
      <w:footerReference w:type="default" r:id="rId34"/>
      <w:pgSz w:w="11906" w:h="16838"/>
      <w:pgMar w:top="1080" w:right="720" w:bottom="171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E679F" w14:textId="77777777" w:rsidR="00D3798F" w:rsidRDefault="00D3798F" w:rsidP="000A4DDE">
      <w:pPr>
        <w:spacing w:after="0" w:line="240" w:lineRule="auto"/>
      </w:pPr>
      <w:r>
        <w:separator/>
      </w:r>
    </w:p>
  </w:endnote>
  <w:endnote w:type="continuationSeparator" w:id="0">
    <w:p w14:paraId="3C4F7545" w14:textId="77777777" w:rsidR="00D3798F" w:rsidRDefault="00D3798F" w:rsidP="000A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0"/>
      <w:docPartObj>
        <w:docPartGallery w:val="Page Numbers (Bottom of Page)"/>
        <w:docPartUnique/>
      </w:docPartObj>
    </w:sdtPr>
    <w:sdtEndPr/>
    <w:sdtContent>
      <w:p w14:paraId="05BF2251" w14:textId="77777777" w:rsidR="003B5A48" w:rsidRDefault="003B5A48">
        <w:pPr>
          <w:pStyle w:val="Footer"/>
          <w:jc w:val="right"/>
        </w:pPr>
        <w:r>
          <w:fldChar w:fldCharType="begin"/>
        </w:r>
        <w:r>
          <w:instrText xml:space="preserve"> PAGE   \* MERGEFORMAT </w:instrText>
        </w:r>
        <w:r>
          <w:fldChar w:fldCharType="separate"/>
        </w:r>
        <w:r w:rsidR="00AE7C58">
          <w:rPr>
            <w:noProof/>
          </w:rPr>
          <w:t>14</w:t>
        </w:r>
        <w:r>
          <w:rPr>
            <w:noProof/>
          </w:rPr>
          <w:fldChar w:fldCharType="end"/>
        </w:r>
      </w:p>
    </w:sdtContent>
  </w:sdt>
  <w:p w14:paraId="10943374" w14:textId="77777777" w:rsidR="003B5A48" w:rsidRDefault="003B5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0262B" w14:textId="77777777" w:rsidR="00D3798F" w:rsidRDefault="00D3798F" w:rsidP="000A4DDE">
      <w:pPr>
        <w:spacing w:after="0" w:line="240" w:lineRule="auto"/>
      </w:pPr>
      <w:r>
        <w:separator/>
      </w:r>
    </w:p>
  </w:footnote>
  <w:footnote w:type="continuationSeparator" w:id="0">
    <w:p w14:paraId="208A6C0B" w14:textId="77777777" w:rsidR="00D3798F" w:rsidRDefault="00D3798F" w:rsidP="000A4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523B" w14:textId="77777777" w:rsidR="003B5A48" w:rsidRDefault="003B5A48" w:rsidP="00CF4BC0">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69B"/>
    <w:multiLevelType w:val="hybridMultilevel"/>
    <w:tmpl w:val="B9CA2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7B03E9"/>
    <w:multiLevelType w:val="hybridMultilevel"/>
    <w:tmpl w:val="16947284"/>
    <w:lvl w:ilvl="0" w:tplc="93CC9B34">
      <w:start w:val="1"/>
      <w:numFmt w:val="bullet"/>
      <w:lvlText w:val=""/>
      <w:lvlJc w:val="left"/>
      <w:pPr>
        <w:ind w:left="461" w:hanging="360"/>
      </w:pPr>
      <w:rPr>
        <w:rFonts w:ascii="Symbol" w:hAnsi="Symbol" w:hint="default"/>
        <w:color w:val="auto"/>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AAE75F2"/>
    <w:multiLevelType w:val="hybridMultilevel"/>
    <w:tmpl w:val="2558FFB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
    <w:nsid w:val="0B7E21B0"/>
    <w:multiLevelType w:val="hybridMultilevel"/>
    <w:tmpl w:val="7B62F4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C252048"/>
    <w:multiLevelType w:val="hybridMultilevel"/>
    <w:tmpl w:val="5DEC98E0"/>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nsid w:val="0CFD69F3"/>
    <w:multiLevelType w:val="hybridMultilevel"/>
    <w:tmpl w:val="992C910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6">
    <w:nsid w:val="0D5B7F02"/>
    <w:multiLevelType w:val="hybridMultilevel"/>
    <w:tmpl w:val="7730CEF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7">
    <w:nsid w:val="149669E2"/>
    <w:multiLevelType w:val="hybridMultilevel"/>
    <w:tmpl w:val="7CB6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72E3A"/>
    <w:multiLevelType w:val="hybridMultilevel"/>
    <w:tmpl w:val="E356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31F96"/>
    <w:multiLevelType w:val="hybridMultilevel"/>
    <w:tmpl w:val="F0C6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F2B65"/>
    <w:multiLevelType w:val="hybridMultilevel"/>
    <w:tmpl w:val="1F8C91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1F32A8B"/>
    <w:multiLevelType w:val="hybridMultilevel"/>
    <w:tmpl w:val="AA02A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0B22D8"/>
    <w:multiLevelType w:val="hybridMultilevel"/>
    <w:tmpl w:val="F2A65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FC11C9"/>
    <w:multiLevelType w:val="hybridMultilevel"/>
    <w:tmpl w:val="65EEC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DF61B2"/>
    <w:multiLevelType w:val="hybridMultilevel"/>
    <w:tmpl w:val="5CCA17EC"/>
    <w:lvl w:ilvl="0" w:tplc="07EA1190">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65937"/>
    <w:multiLevelType w:val="multilevel"/>
    <w:tmpl w:val="BE7A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2F2BBA"/>
    <w:multiLevelType w:val="hybridMultilevel"/>
    <w:tmpl w:val="AFC81902"/>
    <w:lvl w:ilvl="0" w:tplc="C6ECD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4422FD"/>
    <w:multiLevelType w:val="hybridMultilevel"/>
    <w:tmpl w:val="D856DDAA"/>
    <w:lvl w:ilvl="0" w:tplc="5EE4EC28">
      <w:start w:val="1"/>
      <w:numFmt w:val="bullet"/>
      <w:lvlText w:val=""/>
      <w:lvlJc w:val="left"/>
      <w:pPr>
        <w:ind w:left="461" w:hanging="360"/>
      </w:pPr>
      <w:rPr>
        <w:rFonts w:ascii="Symbol" w:hAnsi="Symbol" w:hint="default"/>
        <w:color w:val="auto"/>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8">
    <w:nsid w:val="3A9C43E0"/>
    <w:multiLevelType w:val="hybridMultilevel"/>
    <w:tmpl w:val="01DC9A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311139"/>
    <w:multiLevelType w:val="hybridMultilevel"/>
    <w:tmpl w:val="F7FE6302"/>
    <w:lvl w:ilvl="0" w:tplc="DDA6E0F0">
      <w:start w:val="1"/>
      <w:numFmt w:val="bullet"/>
      <w:lvlText w:val=""/>
      <w:lvlJc w:val="left"/>
      <w:pPr>
        <w:ind w:left="46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0">
    <w:nsid w:val="3F136D9E"/>
    <w:multiLevelType w:val="hybridMultilevel"/>
    <w:tmpl w:val="DE64495E"/>
    <w:lvl w:ilvl="0" w:tplc="FFCAB44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08B5E61"/>
    <w:multiLevelType w:val="hybridMultilevel"/>
    <w:tmpl w:val="E4CE76E0"/>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40AE24F6"/>
    <w:multiLevelType w:val="hybridMultilevel"/>
    <w:tmpl w:val="657484D6"/>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3">
    <w:nsid w:val="49E058BE"/>
    <w:multiLevelType w:val="hybridMultilevel"/>
    <w:tmpl w:val="B04CD90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4">
    <w:nsid w:val="4FEE3480"/>
    <w:multiLevelType w:val="hybridMultilevel"/>
    <w:tmpl w:val="4EA6C1FA"/>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nsid w:val="53A6425C"/>
    <w:multiLevelType w:val="hybridMultilevel"/>
    <w:tmpl w:val="010EF7E6"/>
    <w:lvl w:ilvl="0" w:tplc="07EA1190">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6">
    <w:nsid w:val="59486A7B"/>
    <w:multiLevelType w:val="hybridMultilevel"/>
    <w:tmpl w:val="F5BA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266CB9"/>
    <w:multiLevelType w:val="hybridMultilevel"/>
    <w:tmpl w:val="30C09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4F2A66"/>
    <w:multiLevelType w:val="hybridMultilevel"/>
    <w:tmpl w:val="64268692"/>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991" w:hanging="360"/>
      </w:pPr>
      <w:rPr>
        <w:rFonts w:ascii="Wingdings" w:hAnsi="Wingdings" w:hint="default"/>
      </w:rPr>
    </w:lvl>
    <w:lvl w:ilvl="3" w:tplc="0409000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29">
    <w:nsid w:val="674B05A5"/>
    <w:multiLevelType w:val="hybridMultilevel"/>
    <w:tmpl w:val="BDE4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A6198E"/>
    <w:multiLevelType w:val="hybridMultilevel"/>
    <w:tmpl w:val="3730A4B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1">
    <w:nsid w:val="6F8043CC"/>
    <w:multiLevelType w:val="hybridMultilevel"/>
    <w:tmpl w:val="DBC24010"/>
    <w:lvl w:ilvl="0" w:tplc="C6ECDA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21632D"/>
    <w:multiLevelType w:val="hybridMultilevel"/>
    <w:tmpl w:val="19C856E0"/>
    <w:lvl w:ilvl="0" w:tplc="DDA6E0F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3">
    <w:nsid w:val="76F610EA"/>
    <w:multiLevelType w:val="hybridMultilevel"/>
    <w:tmpl w:val="7326EDF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4">
    <w:nsid w:val="78A47E3F"/>
    <w:multiLevelType w:val="hybridMultilevel"/>
    <w:tmpl w:val="E6E0C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9B1434D"/>
    <w:multiLevelType w:val="hybridMultilevel"/>
    <w:tmpl w:val="C220F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30"/>
  </w:num>
  <w:num w:numId="4">
    <w:abstractNumId w:val="1"/>
  </w:num>
  <w:num w:numId="5">
    <w:abstractNumId w:val="28"/>
  </w:num>
  <w:num w:numId="6">
    <w:abstractNumId w:val="22"/>
  </w:num>
  <w:num w:numId="7">
    <w:abstractNumId w:val="5"/>
  </w:num>
  <w:num w:numId="8">
    <w:abstractNumId w:val="26"/>
  </w:num>
  <w:num w:numId="9">
    <w:abstractNumId w:val="3"/>
  </w:num>
  <w:num w:numId="10">
    <w:abstractNumId w:val="10"/>
  </w:num>
  <w:num w:numId="11">
    <w:abstractNumId w:val="8"/>
  </w:num>
  <w:num w:numId="12">
    <w:abstractNumId w:val="1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0"/>
  </w:num>
  <w:num w:numId="16">
    <w:abstractNumId w:val="33"/>
  </w:num>
  <w:num w:numId="17">
    <w:abstractNumId w:val="13"/>
  </w:num>
  <w:num w:numId="18">
    <w:abstractNumId w:val="16"/>
  </w:num>
  <w:num w:numId="19">
    <w:abstractNumId w:val="31"/>
  </w:num>
  <w:num w:numId="20">
    <w:abstractNumId w:val="11"/>
  </w:num>
  <w:num w:numId="21">
    <w:abstractNumId w:val="27"/>
  </w:num>
  <w:num w:numId="22">
    <w:abstractNumId w:val="29"/>
  </w:num>
  <w:num w:numId="23">
    <w:abstractNumId w:val="12"/>
  </w:num>
  <w:num w:numId="24">
    <w:abstractNumId w:val="0"/>
  </w:num>
  <w:num w:numId="25">
    <w:abstractNumId w:val="4"/>
  </w:num>
  <w:num w:numId="26">
    <w:abstractNumId w:val="35"/>
  </w:num>
  <w:num w:numId="27">
    <w:abstractNumId w:val="34"/>
  </w:num>
  <w:num w:numId="28">
    <w:abstractNumId w:val="23"/>
  </w:num>
  <w:num w:numId="29">
    <w:abstractNumId w:val="2"/>
  </w:num>
  <w:num w:numId="30">
    <w:abstractNumId w:val="21"/>
  </w:num>
  <w:num w:numId="31">
    <w:abstractNumId w:val="6"/>
  </w:num>
  <w:num w:numId="32">
    <w:abstractNumId w:val="24"/>
  </w:num>
  <w:num w:numId="33">
    <w:abstractNumId w:val="7"/>
  </w:num>
  <w:num w:numId="34">
    <w:abstractNumId w:val="32"/>
  </w:num>
  <w:num w:numId="35">
    <w:abstractNumId w:val="19"/>
  </w:num>
  <w:num w:numId="36">
    <w:abstractNumId w:val="25"/>
  </w:num>
  <w:num w:numId="3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044E1"/>
    <w:rsid w:val="00011189"/>
    <w:rsid w:val="000121F1"/>
    <w:rsid w:val="000129C3"/>
    <w:rsid w:val="00017D9F"/>
    <w:rsid w:val="00020447"/>
    <w:rsid w:val="00024A4A"/>
    <w:rsid w:val="000264EF"/>
    <w:rsid w:val="0003026A"/>
    <w:rsid w:val="0004120E"/>
    <w:rsid w:val="00042CC6"/>
    <w:rsid w:val="0006160F"/>
    <w:rsid w:val="00066D17"/>
    <w:rsid w:val="000801D3"/>
    <w:rsid w:val="00085E7D"/>
    <w:rsid w:val="0009097A"/>
    <w:rsid w:val="00097D08"/>
    <w:rsid w:val="000A224A"/>
    <w:rsid w:val="000A4DDE"/>
    <w:rsid w:val="000A600B"/>
    <w:rsid w:val="000A673A"/>
    <w:rsid w:val="000A6814"/>
    <w:rsid w:val="000A7F55"/>
    <w:rsid w:val="000B33A8"/>
    <w:rsid w:val="000B441B"/>
    <w:rsid w:val="000B77D7"/>
    <w:rsid w:val="000B78D8"/>
    <w:rsid w:val="000C1175"/>
    <w:rsid w:val="000C229C"/>
    <w:rsid w:val="000C7E0A"/>
    <w:rsid w:val="000D2752"/>
    <w:rsid w:val="000D2B8E"/>
    <w:rsid w:val="000D2BE2"/>
    <w:rsid w:val="000D4BFA"/>
    <w:rsid w:val="000E4F0C"/>
    <w:rsid w:val="000E5DDE"/>
    <w:rsid w:val="000E6A3D"/>
    <w:rsid w:val="000F21F5"/>
    <w:rsid w:val="0010341F"/>
    <w:rsid w:val="00103531"/>
    <w:rsid w:val="001174E6"/>
    <w:rsid w:val="00126A1D"/>
    <w:rsid w:val="001272B3"/>
    <w:rsid w:val="00131924"/>
    <w:rsid w:val="00135AE5"/>
    <w:rsid w:val="001376C8"/>
    <w:rsid w:val="00137F5E"/>
    <w:rsid w:val="0014042A"/>
    <w:rsid w:val="001415EF"/>
    <w:rsid w:val="001603FB"/>
    <w:rsid w:val="00161F00"/>
    <w:rsid w:val="00163BA0"/>
    <w:rsid w:val="00164A2C"/>
    <w:rsid w:val="00166B4C"/>
    <w:rsid w:val="001671B8"/>
    <w:rsid w:val="00170224"/>
    <w:rsid w:val="0017104E"/>
    <w:rsid w:val="00171FCF"/>
    <w:rsid w:val="00181854"/>
    <w:rsid w:val="001829C2"/>
    <w:rsid w:val="001936BD"/>
    <w:rsid w:val="001A2649"/>
    <w:rsid w:val="001A370C"/>
    <w:rsid w:val="001B7DFD"/>
    <w:rsid w:val="001D2E58"/>
    <w:rsid w:val="001E3DCA"/>
    <w:rsid w:val="001E508D"/>
    <w:rsid w:val="001E7231"/>
    <w:rsid w:val="001F3338"/>
    <w:rsid w:val="001F46B9"/>
    <w:rsid w:val="002032D3"/>
    <w:rsid w:val="00211F8C"/>
    <w:rsid w:val="00213B60"/>
    <w:rsid w:val="002149D3"/>
    <w:rsid w:val="00214A13"/>
    <w:rsid w:val="00223F89"/>
    <w:rsid w:val="002257CB"/>
    <w:rsid w:val="002318B3"/>
    <w:rsid w:val="002360D2"/>
    <w:rsid w:val="002414CE"/>
    <w:rsid w:val="00247A56"/>
    <w:rsid w:val="00252804"/>
    <w:rsid w:val="00252B38"/>
    <w:rsid w:val="00270D1C"/>
    <w:rsid w:val="002806FE"/>
    <w:rsid w:val="0028142A"/>
    <w:rsid w:val="00282571"/>
    <w:rsid w:val="00284F19"/>
    <w:rsid w:val="00285252"/>
    <w:rsid w:val="002866AD"/>
    <w:rsid w:val="00286BF7"/>
    <w:rsid w:val="0029301E"/>
    <w:rsid w:val="002947B8"/>
    <w:rsid w:val="00294ED9"/>
    <w:rsid w:val="00295040"/>
    <w:rsid w:val="002A34A1"/>
    <w:rsid w:val="002B2BFB"/>
    <w:rsid w:val="002B4712"/>
    <w:rsid w:val="002C3155"/>
    <w:rsid w:val="002C6B57"/>
    <w:rsid w:val="002D08ED"/>
    <w:rsid w:val="002D5353"/>
    <w:rsid w:val="002E331E"/>
    <w:rsid w:val="002F2BB0"/>
    <w:rsid w:val="002F5856"/>
    <w:rsid w:val="002F588E"/>
    <w:rsid w:val="002F5C11"/>
    <w:rsid w:val="002F6DD2"/>
    <w:rsid w:val="003027CF"/>
    <w:rsid w:val="00304CA4"/>
    <w:rsid w:val="00314D93"/>
    <w:rsid w:val="0031511A"/>
    <w:rsid w:val="0031724C"/>
    <w:rsid w:val="00326A81"/>
    <w:rsid w:val="00336576"/>
    <w:rsid w:val="00341F45"/>
    <w:rsid w:val="00343A0D"/>
    <w:rsid w:val="00346397"/>
    <w:rsid w:val="00353FBE"/>
    <w:rsid w:val="00354386"/>
    <w:rsid w:val="00356E01"/>
    <w:rsid w:val="00357426"/>
    <w:rsid w:val="003631B3"/>
    <w:rsid w:val="00363660"/>
    <w:rsid w:val="0037105B"/>
    <w:rsid w:val="0037452E"/>
    <w:rsid w:val="003774A5"/>
    <w:rsid w:val="003803C5"/>
    <w:rsid w:val="00384D79"/>
    <w:rsid w:val="00385435"/>
    <w:rsid w:val="00385E02"/>
    <w:rsid w:val="00386C49"/>
    <w:rsid w:val="00391E47"/>
    <w:rsid w:val="003A26F6"/>
    <w:rsid w:val="003A4199"/>
    <w:rsid w:val="003A44F9"/>
    <w:rsid w:val="003A7D81"/>
    <w:rsid w:val="003B0D25"/>
    <w:rsid w:val="003B134C"/>
    <w:rsid w:val="003B3458"/>
    <w:rsid w:val="003B5A48"/>
    <w:rsid w:val="003B7D3E"/>
    <w:rsid w:val="003C06EA"/>
    <w:rsid w:val="003D22B7"/>
    <w:rsid w:val="003D5AB8"/>
    <w:rsid w:val="003D64B2"/>
    <w:rsid w:val="003D7603"/>
    <w:rsid w:val="003E4610"/>
    <w:rsid w:val="003F218A"/>
    <w:rsid w:val="003F28F0"/>
    <w:rsid w:val="003F3569"/>
    <w:rsid w:val="003F3973"/>
    <w:rsid w:val="0040187D"/>
    <w:rsid w:val="0040381D"/>
    <w:rsid w:val="00413646"/>
    <w:rsid w:val="004175C8"/>
    <w:rsid w:val="00422760"/>
    <w:rsid w:val="004229B6"/>
    <w:rsid w:val="0042346C"/>
    <w:rsid w:val="00426715"/>
    <w:rsid w:val="00432607"/>
    <w:rsid w:val="00436071"/>
    <w:rsid w:val="00437C5E"/>
    <w:rsid w:val="00441C03"/>
    <w:rsid w:val="004446B2"/>
    <w:rsid w:val="00444967"/>
    <w:rsid w:val="00457778"/>
    <w:rsid w:val="00457D5E"/>
    <w:rsid w:val="00457DF6"/>
    <w:rsid w:val="00460CC1"/>
    <w:rsid w:val="00461E8D"/>
    <w:rsid w:val="0046752E"/>
    <w:rsid w:val="00472D86"/>
    <w:rsid w:val="00473EF5"/>
    <w:rsid w:val="00475847"/>
    <w:rsid w:val="00476079"/>
    <w:rsid w:val="00477363"/>
    <w:rsid w:val="00477D1D"/>
    <w:rsid w:val="00480DA0"/>
    <w:rsid w:val="00493211"/>
    <w:rsid w:val="00493D72"/>
    <w:rsid w:val="004A3666"/>
    <w:rsid w:val="004A653C"/>
    <w:rsid w:val="004B52A2"/>
    <w:rsid w:val="004B7C3D"/>
    <w:rsid w:val="004C4105"/>
    <w:rsid w:val="004C69D8"/>
    <w:rsid w:val="004D20D6"/>
    <w:rsid w:val="004D78A9"/>
    <w:rsid w:val="004E1021"/>
    <w:rsid w:val="004E19DF"/>
    <w:rsid w:val="004E31B1"/>
    <w:rsid w:val="004F0B68"/>
    <w:rsid w:val="004F2764"/>
    <w:rsid w:val="004F5A85"/>
    <w:rsid w:val="005046A3"/>
    <w:rsid w:val="00505975"/>
    <w:rsid w:val="00507626"/>
    <w:rsid w:val="0051012A"/>
    <w:rsid w:val="00520B5D"/>
    <w:rsid w:val="00520D48"/>
    <w:rsid w:val="00525955"/>
    <w:rsid w:val="005276A4"/>
    <w:rsid w:val="005306EF"/>
    <w:rsid w:val="00531088"/>
    <w:rsid w:val="00544EDF"/>
    <w:rsid w:val="00547988"/>
    <w:rsid w:val="005502D1"/>
    <w:rsid w:val="0055408D"/>
    <w:rsid w:val="00555151"/>
    <w:rsid w:val="00556DF9"/>
    <w:rsid w:val="005604E4"/>
    <w:rsid w:val="005633C9"/>
    <w:rsid w:val="00567142"/>
    <w:rsid w:val="00573AFF"/>
    <w:rsid w:val="00591509"/>
    <w:rsid w:val="00593573"/>
    <w:rsid w:val="005A3CA6"/>
    <w:rsid w:val="005A4CB0"/>
    <w:rsid w:val="005B77F3"/>
    <w:rsid w:val="005B7EF1"/>
    <w:rsid w:val="005C4549"/>
    <w:rsid w:val="005C55FF"/>
    <w:rsid w:val="005D083D"/>
    <w:rsid w:val="005D19A3"/>
    <w:rsid w:val="005D406B"/>
    <w:rsid w:val="005D4F54"/>
    <w:rsid w:val="005D74E5"/>
    <w:rsid w:val="005E049C"/>
    <w:rsid w:val="005E265B"/>
    <w:rsid w:val="005E26C7"/>
    <w:rsid w:val="005E392C"/>
    <w:rsid w:val="005E5488"/>
    <w:rsid w:val="005F3C98"/>
    <w:rsid w:val="006001A2"/>
    <w:rsid w:val="00606443"/>
    <w:rsid w:val="00606EFC"/>
    <w:rsid w:val="006115AB"/>
    <w:rsid w:val="00615D27"/>
    <w:rsid w:val="00616F65"/>
    <w:rsid w:val="00617106"/>
    <w:rsid w:val="00617A1E"/>
    <w:rsid w:val="00622CE2"/>
    <w:rsid w:val="006234BE"/>
    <w:rsid w:val="006268F4"/>
    <w:rsid w:val="006324B4"/>
    <w:rsid w:val="00634550"/>
    <w:rsid w:val="00635F31"/>
    <w:rsid w:val="006419F1"/>
    <w:rsid w:val="006437AB"/>
    <w:rsid w:val="0064501F"/>
    <w:rsid w:val="00646043"/>
    <w:rsid w:val="00646B97"/>
    <w:rsid w:val="00651C65"/>
    <w:rsid w:val="00660609"/>
    <w:rsid w:val="00661A83"/>
    <w:rsid w:val="00662312"/>
    <w:rsid w:val="00666537"/>
    <w:rsid w:val="00671850"/>
    <w:rsid w:val="00671C9D"/>
    <w:rsid w:val="00673015"/>
    <w:rsid w:val="00673DF6"/>
    <w:rsid w:val="00677D12"/>
    <w:rsid w:val="00677E55"/>
    <w:rsid w:val="006912E1"/>
    <w:rsid w:val="00692BA8"/>
    <w:rsid w:val="00694B94"/>
    <w:rsid w:val="00695E64"/>
    <w:rsid w:val="006A2C16"/>
    <w:rsid w:val="006A4ED9"/>
    <w:rsid w:val="006A695C"/>
    <w:rsid w:val="006B20E3"/>
    <w:rsid w:val="006B3DFC"/>
    <w:rsid w:val="006C29C0"/>
    <w:rsid w:val="006D2721"/>
    <w:rsid w:val="006D535F"/>
    <w:rsid w:val="006D67DF"/>
    <w:rsid w:val="006E2EB3"/>
    <w:rsid w:val="006E6CE8"/>
    <w:rsid w:val="006F2A0D"/>
    <w:rsid w:val="007062AB"/>
    <w:rsid w:val="0071228F"/>
    <w:rsid w:val="00725F8A"/>
    <w:rsid w:val="0072637A"/>
    <w:rsid w:val="0072790D"/>
    <w:rsid w:val="007337A1"/>
    <w:rsid w:val="00735EC3"/>
    <w:rsid w:val="0075587C"/>
    <w:rsid w:val="007654FF"/>
    <w:rsid w:val="0076767C"/>
    <w:rsid w:val="00773871"/>
    <w:rsid w:val="00777418"/>
    <w:rsid w:val="00780B6F"/>
    <w:rsid w:val="00795CC4"/>
    <w:rsid w:val="0079602F"/>
    <w:rsid w:val="007A01FF"/>
    <w:rsid w:val="007A08DA"/>
    <w:rsid w:val="007A5135"/>
    <w:rsid w:val="007A646A"/>
    <w:rsid w:val="007A6B07"/>
    <w:rsid w:val="007A7A18"/>
    <w:rsid w:val="007B1894"/>
    <w:rsid w:val="007B3C66"/>
    <w:rsid w:val="007B7CF5"/>
    <w:rsid w:val="007D5C12"/>
    <w:rsid w:val="007D72C7"/>
    <w:rsid w:val="007E2897"/>
    <w:rsid w:val="007E3348"/>
    <w:rsid w:val="007F56F9"/>
    <w:rsid w:val="007F611A"/>
    <w:rsid w:val="0080278B"/>
    <w:rsid w:val="008036F9"/>
    <w:rsid w:val="00806CA7"/>
    <w:rsid w:val="00813FA3"/>
    <w:rsid w:val="00816EDC"/>
    <w:rsid w:val="0081717E"/>
    <w:rsid w:val="00817368"/>
    <w:rsid w:val="00820B3F"/>
    <w:rsid w:val="00821042"/>
    <w:rsid w:val="0082329B"/>
    <w:rsid w:val="0082593C"/>
    <w:rsid w:val="00840ED6"/>
    <w:rsid w:val="008410B6"/>
    <w:rsid w:val="0084121F"/>
    <w:rsid w:val="00843208"/>
    <w:rsid w:val="008515C2"/>
    <w:rsid w:val="00851663"/>
    <w:rsid w:val="00855770"/>
    <w:rsid w:val="00860902"/>
    <w:rsid w:val="0086255A"/>
    <w:rsid w:val="008706A8"/>
    <w:rsid w:val="00881015"/>
    <w:rsid w:val="008857EA"/>
    <w:rsid w:val="00886A87"/>
    <w:rsid w:val="00886BD1"/>
    <w:rsid w:val="00892A2D"/>
    <w:rsid w:val="00896E9E"/>
    <w:rsid w:val="008975E9"/>
    <w:rsid w:val="00897B1D"/>
    <w:rsid w:val="008A107B"/>
    <w:rsid w:val="008A736D"/>
    <w:rsid w:val="008A75C1"/>
    <w:rsid w:val="008B761A"/>
    <w:rsid w:val="008C2688"/>
    <w:rsid w:val="008C3892"/>
    <w:rsid w:val="008C591D"/>
    <w:rsid w:val="008C6991"/>
    <w:rsid w:val="008D2BD4"/>
    <w:rsid w:val="008D4004"/>
    <w:rsid w:val="008E4F3B"/>
    <w:rsid w:val="008F35BD"/>
    <w:rsid w:val="009011F9"/>
    <w:rsid w:val="009053AA"/>
    <w:rsid w:val="009061B8"/>
    <w:rsid w:val="00912E40"/>
    <w:rsid w:val="009138F4"/>
    <w:rsid w:val="00924A59"/>
    <w:rsid w:val="00927716"/>
    <w:rsid w:val="00932F91"/>
    <w:rsid w:val="0093733B"/>
    <w:rsid w:val="00940642"/>
    <w:rsid w:val="00940C09"/>
    <w:rsid w:val="00945842"/>
    <w:rsid w:val="00947FA5"/>
    <w:rsid w:val="009574EA"/>
    <w:rsid w:val="00960526"/>
    <w:rsid w:val="0096416B"/>
    <w:rsid w:val="00964E3A"/>
    <w:rsid w:val="00966ACF"/>
    <w:rsid w:val="00972F4C"/>
    <w:rsid w:val="00975C5E"/>
    <w:rsid w:val="00977112"/>
    <w:rsid w:val="0098025C"/>
    <w:rsid w:val="009845A5"/>
    <w:rsid w:val="009A2C22"/>
    <w:rsid w:val="009A7035"/>
    <w:rsid w:val="009B5226"/>
    <w:rsid w:val="009B6FF7"/>
    <w:rsid w:val="009B78F6"/>
    <w:rsid w:val="009C3213"/>
    <w:rsid w:val="009C46E3"/>
    <w:rsid w:val="009D0882"/>
    <w:rsid w:val="009D1A9B"/>
    <w:rsid w:val="009E1A83"/>
    <w:rsid w:val="009E2388"/>
    <w:rsid w:val="009E35B4"/>
    <w:rsid w:val="009E7C90"/>
    <w:rsid w:val="009F4913"/>
    <w:rsid w:val="009F664F"/>
    <w:rsid w:val="00A01DA2"/>
    <w:rsid w:val="00A031AD"/>
    <w:rsid w:val="00A10C07"/>
    <w:rsid w:val="00A15FF0"/>
    <w:rsid w:val="00A16618"/>
    <w:rsid w:val="00A2189F"/>
    <w:rsid w:val="00A23C94"/>
    <w:rsid w:val="00A36F1C"/>
    <w:rsid w:val="00A5176D"/>
    <w:rsid w:val="00A671B0"/>
    <w:rsid w:val="00A75684"/>
    <w:rsid w:val="00A91A3E"/>
    <w:rsid w:val="00A9279C"/>
    <w:rsid w:val="00AA0373"/>
    <w:rsid w:val="00AA5505"/>
    <w:rsid w:val="00AA6706"/>
    <w:rsid w:val="00AC78F6"/>
    <w:rsid w:val="00AE1545"/>
    <w:rsid w:val="00AE693C"/>
    <w:rsid w:val="00AE7C58"/>
    <w:rsid w:val="00AF2338"/>
    <w:rsid w:val="00AF29E9"/>
    <w:rsid w:val="00AF41EC"/>
    <w:rsid w:val="00B049AE"/>
    <w:rsid w:val="00B07A5B"/>
    <w:rsid w:val="00B122E5"/>
    <w:rsid w:val="00B17C34"/>
    <w:rsid w:val="00B20B91"/>
    <w:rsid w:val="00B26AA9"/>
    <w:rsid w:val="00B37300"/>
    <w:rsid w:val="00B37A25"/>
    <w:rsid w:val="00B416EC"/>
    <w:rsid w:val="00B42FF2"/>
    <w:rsid w:val="00B46FAE"/>
    <w:rsid w:val="00B5744A"/>
    <w:rsid w:val="00B61F58"/>
    <w:rsid w:val="00B658E8"/>
    <w:rsid w:val="00B717A8"/>
    <w:rsid w:val="00B77B75"/>
    <w:rsid w:val="00B80314"/>
    <w:rsid w:val="00B81D78"/>
    <w:rsid w:val="00B8555B"/>
    <w:rsid w:val="00BA1DC7"/>
    <w:rsid w:val="00BA2BF1"/>
    <w:rsid w:val="00BA611D"/>
    <w:rsid w:val="00BA7648"/>
    <w:rsid w:val="00BB0370"/>
    <w:rsid w:val="00BB4E9A"/>
    <w:rsid w:val="00BB7932"/>
    <w:rsid w:val="00BD0B78"/>
    <w:rsid w:val="00BD3A7A"/>
    <w:rsid w:val="00BE3D7F"/>
    <w:rsid w:val="00BF58C1"/>
    <w:rsid w:val="00C02671"/>
    <w:rsid w:val="00C05219"/>
    <w:rsid w:val="00C07844"/>
    <w:rsid w:val="00C150C2"/>
    <w:rsid w:val="00C21CF1"/>
    <w:rsid w:val="00C30856"/>
    <w:rsid w:val="00C30E41"/>
    <w:rsid w:val="00C3115B"/>
    <w:rsid w:val="00C33DB8"/>
    <w:rsid w:val="00C4239B"/>
    <w:rsid w:val="00C479EC"/>
    <w:rsid w:val="00C47CBB"/>
    <w:rsid w:val="00C6691A"/>
    <w:rsid w:val="00C669C8"/>
    <w:rsid w:val="00C67F19"/>
    <w:rsid w:val="00C70D0C"/>
    <w:rsid w:val="00C72879"/>
    <w:rsid w:val="00C7330D"/>
    <w:rsid w:val="00C75C22"/>
    <w:rsid w:val="00C77E8F"/>
    <w:rsid w:val="00C80B49"/>
    <w:rsid w:val="00C84B37"/>
    <w:rsid w:val="00C94C40"/>
    <w:rsid w:val="00CA094F"/>
    <w:rsid w:val="00CB1809"/>
    <w:rsid w:val="00CB45E2"/>
    <w:rsid w:val="00CC24AA"/>
    <w:rsid w:val="00CC3243"/>
    <w:rsid w:val="00CD1FD2"/>
    <w:rsid w:val="00CD3C4C"/>
    <w:rsid w:val="00CD5323"/>
    <w:rsid w:val="00CD6D1C"/>
    <w:rsid w:val="00CE093E"/>
    <w:rsid w:val="00CE2DB8"/>
    <w:rsid w:val="00CE4CF1"/>
    <w:rsid w:val="00CF02AF"/>
    <w:rsid w:val="00CF0594"/>
    <w:rsid w:val="00CF1019"/>
    <w:rsid w:val="00CF4BC0"/>
    <w:rsid w:val="00CF7839"/>
    <w:rsid w:val="00CF7A88"/>
    <w:rsid w:val="00D0158B"/>
    <w:rsid w:val="00D0226F"/>
    <w:rsid w:val="00D1061A"/>
    <w:rsid w:val="00D15D97"/>
    <w:rsid w:val="00D33E1F"/>
    <w:rsid w:val="00D3798F"/>
    <w:rsid w:val="00D44A9E"/>
    <w:rsid w:val="00D56AE1"/>
    <w:rsid w:val="00D577A8"/>
    <w:rsid w:val="00D621E3"/>
    <w:rsid w:val="00D72215"/>
    <w:rsid w:val="00D83475"/>
    <w:rsid w:val="00D836CB"/>
    <w:rsid w:val="00D86363"/>
    <w:rsid w:val="00D86D36"/>
    <w:rsid w:val="00D93A4C"/>
    <w:rsid w:val="00DA79DF"/>
    <w:rsid w:val="00DB35D6"/>
    <w:rsid w:val="00DD3650"/>
    <w:rsid w:val="00DD77BA"/>
    <w:rsid w:val="00DE15BC"/>
    <w:rsid w:val="00DE592B"/>
    <w:rsid w:val="00DE7271"/>
    <w:rsid w:val="00DF64FF"/>
    <w:rsid w:val="00E01B08"/>
    <w:rsid w:val="00E15D77"/>
    <w:rsid w:val="00E161C4"/>
    <w:rsid w:val="00E16994"/>
    <w:rsid w:val="00E2330F"/>
    <w:rsid w:val="00E36A8B"/>
    <w:rsid w:val="00E402B7"/>
    <w:rsid w:val="00E41D3F"/>
    <w:rsid w:val="00E46DE7"/>
    <w:rsid w:val="00E50819"/>
    <w:rsid w:val="00E51684"/>
    <w:rsid w:val="00E55742"/>
    <w:rsid w:val="00E62452"/>
    <w:rsid w:val="00E7007A"/>
    <w:rsid w:val="00E77874"/>
    <w:rsid w:val="00E82111"/>
    <w:rsid w:val="00E84F62"/>
    <w:rsid w:val="00E949A5"/>
    <w:rsid w:val="00EA1937"/>
    <w:rsid w:val="00EA5F3D"/>
    <w:rsid w:val="00EB41C7"/>
    <w:rsid w:val="00EB428F"/>
    <w:rsid w:val="00EB63E4"/>
    <w:rsid w:val="00EB64A4"/>
    <w:rsid w:val="00EB687F"/>
    <w:rsid w:val="00EB6D75"/>
    <w:rsid w:val="00ED3F70"/>
    <w:rsid w:val="00ED7D6B"/>
    <w:rsid w:val="00EE3DAE"/>
    <w:rsid w:val="00EE72DF"/>
    <w:rsid w:val="00EF53F3"/>
    <w:rsid w:val="00EF7A42"/>
    <w:rsid w:val="00F020F9"/>
    <w:rsid w:val="00F06554"/>
    <w:rsid w:val="00F1160E"/>
    <w:rsid w:val="00F13A15"/>
    <w:rsid w:val="00F13A71"/>
    <w:rsid w:val="00F1502E"/>
    <w:rsid w:val="00F16858"/>
    <w:rsid w:val="00F16D42"/>
    <w:rsid w:val="00F20F69"/>
    <w:rsid w:val="00F25C78"/>
    <w:rsid w:val="00F26663"/>
    <w:rsid w:val="00F3106B"/>
    <w:rsid w:val="00F32552"/>
    <w:rsid w:val="00F32733"/>
    <w:rsid w:val="00F33005"/>
    <w:rsid w:val="00F34A7A"/>
    <w:rsid w:val="00F361AB"/>
    <w:rsid w:val="00F3726A"/>
    <w:rsid w:val="00F40025"/>
    <w:rsid w:val="00F41452"/>
    <w:rsid w:val="00F4730D"/>
    <w:rsid w:val="00F5222B"/>
    <w:rsid w:val="00F52E1E"/>
    <w:rsid w:val="00F56339"/>
    <w:rsid w:val="00F574A9"/>
    <w:rsid w:val="00F66B65"/>
    <w:rsid w:val="00F7260D"/>
    <w:rsid w:val="00F80D5E"/>
    <w:rsid w:val="00F81348"/>
    <w:rsid w:val="00F823C8"/>
    <w:rsid w:val="00F85D6F"/>
    <w:rsid w:val="00F90C2A"/>
    <w:rsid w:val="00F95525"/>
    <w:rsid w:val="00F96DBA"/>
    <w:rsid w:val="00F97440"/>
    <w:rsid w:val="00FA78D7"/>
    <w:rsid w:val="00FB3602"/>
    <w:rsid w:val="00FB7DA7"/>
    <w:rsid w:val="00FC1556"/>
    <w:rsid w:val="00FC6098"/>
    <w:rsid w:val="00FD2B32"/>
    <w:rsid w:val="00FD49D1"/>
    <w:rsid w:val="00FD6D34"/>
    <w:rsid w:val="00FE4E09"/>
    <w:rsid w:val="00FE591F"/>
    <w:rsid w:val="00FF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 w:type="paragraph" w:styleId="NormalWeb">
    <w:name w:val="Normal (Web)"/>
    <w:basedOn w:val="Normal"/>
    <w:uiPriority w:val="99"/>
    <w:unhideWhenUsed/>
    <w:rsid w:val="00960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E5488"/>
    <w:pPr>
      <w:widowControl w:val="0"/>
      <w:autoSpaceDE w:val="0"/>
      <w:autoSpaceDN w:val="0"/>
      <w:spacing w:after="0" w:line="240" w:lineRule="auto"/>
    </w:pPr>
    <w:rPr>
      <w:rFonts w:ascii="Times New Roman" w:eastAsia="Times New Roman" w:hAnsi="Times New Roman" w:cs="Times New Roman"/>
      <w:lang w:bidi="en-US"/>
    </w:rPr>
  </w:style>
  <w:style w:type="character" w:styleId="Emphasis">
    <w:name w:val="Emphasis"/>
    <w:basedOn w:val="DefaultParagraphFont"/>
    <w:uiPriority w:val="20"/>
    <w:qFormat/>
    <w:rsid w:val="00567142"/>
    <w:rPr>
      <w:i/>
      <w:iCs/>
    </w:rPr>
  </w:style>
  <w:style w:type="table" w:customStyle="1" w:styleId="Style1">
    <w:name w:val="Style1"/>
    <w:basedOn w:val="TableNormal"/>
    <w:uiPriority w:val="99"/>
    <w:rsid w:val="00795CC4"/>
    <w:pPr>
      <w:spacing w:after="0" w:line="240" w:lineRule="auto"/>
    </w:p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 w:type="paragraph" w:styleId="NormalWeb">
    <w:name w:val="Normal (Web)"/>
    <w:basedOn w:val="Normal"/>
    <w:uiPriority w:val="99"/>
    <w:unhideWhenUsed/>
    <w:rsid w:val="00960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E5488"/>
    <w:pPr>
      <w:widowControl w:val="0"/>
      <w:autoSpaceDE w:val="0"/>
      <w:autoSpaceDN w:val="0"/>
      <w:spacing w:after="0" w:line="240" w:lineRule="auto"/>
    </w:pPr>
    <w:rPr>
      <w:rFonts w:ascii="Times New Roman" w:eastAsia="Times New Roman" w:hAnsi="Times New Roman" w:cs="Times New Roman"/>
      <w:lang w:bidi="en-US"/>
    </w:rPr>
  </w:style>
  <w:style w:type="character" w:styleId="Emphasis">
    <w:name w:val="Emphasis"/>
    <w:basedOn w:val="DefaultParagraphFont"/>
    <w:uiPriority w:val="20"/>
    <w:qFormat/>
    <w:rsid w:val="00567142"/>
    <w:rPr>
      <w:i/>
      <w:iCs/>
    </w:rPr>
  </w:style>
  <w:style w:type="table" w:customStyle="1" w:styleId="Style1">
    <w:name w:val="Style1"/>
    <w:basedOn w:val="TableNormal"/>
    <w:uiPriority w:val="99"/>
    <w:rsid w:val="00795CC4"/>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9145">
      <w:bodyDiv w:val="1"/>
      <w:marLeft w:val="0"/>
      <w:marRight w:val="0"/>
      <w:marTop w:val="0"/>
      <w:marBottom w:val="0"/>
      <w:divBdr>
        <w:top w:val="none" w:sz="0" w:space="0" w:color="auto"/>
        <w:left w:val="none" w:sz="0" w:space="0" w:color="auto"/>
        <w:bottom w:val="none" w:sz="0" w:space="0" w:color="auto"/>
        <w:right w:val="none" w:sz="0" w:space="0" w:color="auto"/>
      </w:divBdr>
    </w:div>
    <w:div w:id="34473156">
      <w:bodyDiv w:val="1"/>
      <w:marLeft w:val="0"/>
      <w:marRight w:val="0"/>
      <w:marTop w:val="0"/>
      <w:marBottom w:val="0"/>
      <w:divBdr>
        <w:top w:val="none" w:sz="0" w:space="0" w:color="auto"/>
        <w:left w:val="none" w:sz="0" w:space="0" w:color="auto"/>
        <w:bottom w:val="none" w:sz="0" w:space="0" w:color="auto"/>
        <w:right w:val="none" w:sz="0" w:space="0" w:color="auto"/>
      </w:divBdr>
    </w:div>
    <w:div w:id="36518252">
      <w:bodyDiv w:val="1"/>
      <w:marLeft w:val="0"/>
      <w:marRight w:val="0"/>
      <w:marTop w:val="0"/>
      <w:marBottom w:val="0"/>
      <w:divBdr>
        <w:top w:val="none" w:sz="0" w:space="0" w:color="auto"/>
        <w:left w:val="none" w:sz="0" w:space="0" w:color="auto"/>
        <w:bottom w:val="none" w:sz="0" w:space="0" w:color="auto"/>
        <w:right w:val="none" w:sz="0" w:space="0" w:color="auto"/>
      </w:divBdr>
    </w:div>
    <w:div w:id="76442710">
      <w:bodyDiv w:val="1"/>
      <w:marLeft w:val="0"/>
      <w:marRight w:val="0"/>
      <w:marTop w:val="0"/>
      <w:marBottom w:val="0"/>
      <w:divBdr>
        <w:top w:val="none" w:sz="0" w:space="0" w:color="auto"/>
        <w:left w:val="none" w:sz="0" w:space="0" w:color="auto"/>
        <w:bottom w:val="none" w:sz="0" w:space="0" w:color="auto"/>
        <w:right w:val="none" w:sz="0" w:space="0" w:color="auto"/>
      </w:divBdr>
    </w:div>
    <w:div w:id="102964328">
      <w:bodyDiv w:val="1"/>
      <w:marLeft w:val="0"/>
      <w:marRight w:val="0"/>
      <w:marTop w:val="0"/>
      <w:marBottom w:val="0"/>
      <w:divBdr>
        <w:top w:val="none" w:sz="0" w:space="0" w:color="auto"/>
        <w:left w:val="none" w:sz="0" w:space="0" w:color="auto"/>
        <w:bottom w:val="none" w:sz="0" w:space="0" w:color="auto"/>
        <w:right w:val="none" w:sz="0" w:space="0" w:color="auto"/>
      </w:divBdr>
    </w:div>
    <w:div w:id="164517354">
      <w:bodyDiv w:val="1"/>
      <w:marLeft w:val="0"/>
      <w:marRight w:val="0"/>
      <w:marTop w:val="0"/>
      <w:marBottom w:val="0"/>
      <w:divBdr>
        <w:top w:val="none" w:sz="0" w:space="0" w:color="auto"/>
        <w:left w:val="none" w:sz="0" w:space="0" w:color="auto"/>
        <w:bottom w:val="none" w:sz="0" w:space="0" w:color="auto"/>
        <w:right w:val="none" w:sz="0" w:space="0" w:color="auto"/>
      </w:divBdr>
      <w:divsChild>
        <w:div w:id="1528135292">
          <w:marLeft w:val="0"/>
          <w:marRight w:val="0"/>
          <w:marTop w:val="0"/>
          <w:marBottom w:val="0"/>
          <w:divBdr>
            <w:top w:val="none" w:sz="0" w:space="0" w:color="auto"/>
            <w:left w:val="none" w:sz="0" w:space="0" w:color="auto"/>
            <w:bottom w:val="none" w:sz="0" w:space="0" w:color="auto"/>
            <w:right w:val="none" w:sz="0" w:space="0" w:color="auto"/>
          </w:divBdr>
        </w:div>
      </w:divsChild>
    </w:div>
    <w:div w:id="173767208">
      <w:bodyDiv w:val="1"/>
      <w:marLeft w:val="0"/>
      <w:marRight w:val="0"/>
      <w:marTop w:val="0"/>
      <w:marBottom w:val="0"/>
      <w:divBdr>
        <w:top w:val="none" w:sz="0" w:space="0" w:color="auto"/>
        <w:left w:val="none" w:sz="0" w:space="0" w:color="auto"/>
        <w:bottom w:val="none" w:sz="0" w:space="0" w:color="auto"/>
        <w:right w:val="none" w:sz="0" w:space="0" w:color="auto"/>
      </w:divBdr>
    </w:div>
    <w:div w:id="175269115">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320431849">
      <w:bodyDiv w:val="1"/>
      <w:marLeft w:val="0"/>
      <w:marRight w:val="0"/>
      <w:marTop w:val="0"/>
      <w:marBottom w:val="0"/>
      <w:divBdr>
        <w:top w:val="none" w:sz="0" w:space="0" w:color="auto"/>
        <w:left w:val="none" w:sz="0" w:space="0" w:color="auto"/>
        <w:bottom w:val="none" w:sz="0" w:space="0" w:color="auto"/>
        <w:right w:val="none" w:sz="0" w:space="0" w:color="auto"/>
      </w:divBdr>
    </w:div>
    <w:div w:id="321930713">
      <w:bodyDiv w:val="1"/>
      <w:marLeft w:val="0"/>
      <w:marRight w:val="0"/>
      <w:marTop w:val="0"/>
      <w:marBottom w:val="0"/>
      <w:divBdr>
        <w:top w:val="none" w:sz="0" w:space="0" w:color="auto"/>
        <w:left w:val="none" w:sz="0" w:space="0" w:color="auto"/>
        <w:bottom w:val="none" w:sz="0" w:space="0" w:color="auto"/>
        <w:right w:val="none" w:sz="0" w:space="0" w:color="auto"/>
      </w:divBdr>
    </w:div>
    <w:div w:id="337076122">
      <w:bodyDiv w:val="1"/>
      <w:marLeft w:val="0"/>
      <w:marRight w:val="0"/>
      <w:marTop w:val="0"/>
      <w:marBottom w:val="0"/>
      <w:divBdr>
        <w:top w:val="none" w:sz="0" w:space="0" w:color="auto"/>
        <w:left w:val="none" w:sz="0" w:space="0" w:color="auto"/>
        <w:bottom w:val="none" w:sz="0" w:space="0" w:color="auto"/>
        <w:right w:val="none" w:sz="0" w:space="0" w:color="auto"/>
      </w:divBdr>
    </w:div>
    <w:div w:id="397748518">
      <w:bodyDiv w:val="1"/>
      <w:marLeft w:val="0"/>
      <w:marRight w:val="0"/>
      <w:marTop w:val="0"/>
      <w:marBottom w:val="0"/>
      <w:divBdr>
        <w:top w:val="none" w:sz="0" w:space="0" w:color="auto"/>
        <w:left w:val="none" w:sz="0" w:space="0" w:color="auto"/>
        <w:bottom w:val="none" w:sz="0" w:space="0" w:color="auto"/>
        <w:right w:val="none" w:sz="0" w:space="0" w:color="auto"/>
      </w:divBdr>
    </w:div>
    <w:div w:id="459543375">
      <w:bodyDiv w:val="1"/>
      <w:marLeft w:val="0"/>
      <w:marRight w:val="0"/>
      <w:marTop w:val="0"/>
      <w:marBottom w:val="0"/>
      <w:divBdr>
        <w:top w:val="none" w:sz="0" w:space="0" w:color="auto"/>
        <w:left w:val="none" w:sz="0" w:space="0" w:color="auto"/>
        <w:bottom w:val="none" w:sz="0" w:space="0" w:color="auto"/>
        <w:right w:val="none" w:sz="0" w:space="0" w:color="auto"/>
      </w:divBdr>
    </w:div>
    <w:div w:id="557127211">
      <w:bodyDiv w:val="1"/>
      <w:marLeft w:val="0"/>
      <w:marRight w:val="0"/>
      <w:marTop w:val="0"/>
      <w:marBottom w:val="0"/>
      <w:divBdr>
        <w:top w:val="none" w:sz="0" w:space="0" w:color="auto"/>
        <w:left w:val="none" w:sz="0" w:space="0" w:color="auto"/>
        <w:bottom w:val="none" w:sz="0" w:space="0" w:color="auto"/>
        <w:right w:val="none" w:sz="0" w:space="0" w:color="auto"/>
      </w:divBdr>
    </w:div>
    <w:div w:id="573858800">
      <w:bodyDiv w:val="1"/>
      <w:marLeft w:val="0"/>
      <w:marRight w:val="0"/>
      <w:marTop w:val="0"/>
      <w:marBottom w:val="0"/>
      <w:divBdr>
        <w:top w:val="none" w:sz="0" w:space="0" w:color="auto"/>
        <w:left w:val="none" w:sz="0" w:space="0" w:color="auto"/>
        <w:bottom w:val="none" w:sz="0" w:space="0" w:color="auto"/>
        <w:right w:val="none" w:sz="0" w:space="0" w:color="auto"/>
      </w:divBdr>
    </w:div>
    <w:div w:id="589581865">
      <w:bodyDiv w:val="1"/>
      <w:marLeft w:val="0"/>
      <w:marRight w:val="0"/>
      <w:marTop w:val="0"/>
      <w:marBottom w:val="0"/>
      <w:divBdr>
        <w:top w:val="none" w:sz="0" w:space="0" w:color="auto"/>
        <w:left w:val="none" w:sz="0" w:space="0" w:color="auto"/>
        <w:bottom w:val="none" w:sz="0" w:space="0" w:color="auto"/>
        <w:right w:val="none" w:sz="0" w:space="0" w:color="auto"/>
      </w:divBdr>
    </w:div>
    <w:div w:id="597757660">
      <w:bodyDiv w:val="1"/>
      <w:marLeft w:val="0"/>
      <w:marRight w:val="0"/>
      <w:marTop w:val="0"/>
      <w:marBottom w:val="0"/>
      <w:divBdr>
        <w:top w:val="none" w:sz="0" w:space="0" w:color="auto"/>
        <w:left w:val="none" w:sz="0" w:space="0" w:color="auto"/>
        <w:bottom w:val="none" w:sz="0" w:space="0" w:color="auto"/>
        <w:right w:val="none" w:sz="0" w:space="0" w:color="auto"/>
      </w:divBdr>
    </w:div>
    <w:div w:id="671494473">
      <w:bodyDiv w:val="1"/>
      <w:marLeft w:val="0"/>
      <w:marRight w:val="0"/>
      <w:marTop w:val="0"/>
      <w:marBottom w:val="0"/>
      <w:divBdr>
        <w:top w:val="none" w:sz="0" w:space="0" w:color="auto"/>
        <w:left w:val="none" w:sz="0" w:space="0" w:color="auto"/>
        <w:bottom w:val="none" w:sz="0" w:space="0" w:color="auto"/>
        <w:right w:val="none" w:sz="0" w:space="0" w:color="auto"/>
      </w:divBdr>
    </w:div>
    <w:div w:id="700515283">
      <w:bodyDiv w:val="1"/>
      <w:marLeft w:val="0"/>
      <w:marRight w:val="0"/>
      <w:marTop w:val="0"/>
      <w:marBottom w:val="0"/>
      <w:divBdr>
        <w:top w:val="none" w:sz="0" w:space="0" w:color="auto"/>
        <w:left w:val="none" w:sz="0" w:space="0" w:color="auto"/>
        <w:bottom w:val="none" w:sz="0" w:space="0" w:color="auto"/>
        <w:right w:val="none" w:sz="0" w:space="0" w:color="auto"/>
      </w:divBdr>
    </w:div>
    <w:div w:id="735513227">
      <w:bodyDiv w:val="1"/>
      <w:marLeft w:val="0"/>
      <w:marRight w:val="0"/>
      <w:marTop w:val="0"/>
      <w:marBottom w:val="0"/>
      <w:divBdr>
        <w:top w:val="none" w:sz="0" w:space="0" w:color="auto"/>
        <w:left w:val="none" w:sz="0" w:space="0" w:color="auto"/>
        <w:bottom w:val="none" w:sz="0" w:space="0" w:color="auto"/>
        <w:right w:val="none" w:sz="0" w:space="0" w:color="auto"/>
      </w:divBdr>
    </w:div>
    <w:div w:id="845945399">
      <w:bodyDiv w:val="1"/>
      <w:marLeft w:val="0"/>
      <w:marRight w:val="0"/>
      <w:marTop w:val="0"/>
      <w:marBottom w:val="0"/>
      <w:divBdr>
        <w:top w:val="none" w:sz="0" w:space="0" w:color="auto"/>
        <w:left w:val="none" w:sz="0" w:space="0" w:color="auto"/>
        <w:bottom w:val="none" w:sz="0" w:space="0" w:color="auto"/>
        <w:right w:val="none" w:sz="0" w:space="0" w:color="auto"/>
      </w:divBdr>
    </w:div>
    <w:div w:id="890002509">
      <w:bodyDiv w:val="1"/>
      <w:marLeft w:val="0"/>
      <w:marRight w:val="0"/>
      <w:marTop w:val="0"/>
      <w:marBottom w:val="0"/>
      <w:divBdr>
        <w:top w:val="none" w:sz="0" w:space="0" w:color="auto"/>
        <w:left w:val="none" w:sz="0" w:space="0" w:color="auto"/>
        <w:bottom w:val="none" w:sz="0" w:space="0" w:color="auto"/>
        <w:right w:val="none" w:sz="0" w:space="0" w:color="auto"/>
      </w:divBdr>
    </w:div>
    <w:div w:id="1009329079">
      <w:bodyDiv w:val="1"/>
      <w:marLeft w:val="0"/>
      <w:marRight w:val="0"/>
      <w:marTop w:val="0"/>
      <w:marBottom w:val="0"/>
      <w:divBdr>
        <w:top w:val="none" w:sz="0" w:space="0" w:color="auto"/>
        <w:left w:val="none" w:sz="0" w:space="0" w:color="auto"/>
        <w:bottom w:val="none" w:sz="0" w:space="0" w:color="auto"/>
        <w:right w:val="none" w:sz="0" w:space="0" w:color="auto"/>
      </w:divBdr>
    </w:div>
    <w:div w:id="1064642278">
      <w:bodyDiv w:val="1"/>
      <w:marLeft w:val="0"/>
      <w:marRight w:val="0"/>
      <w:marTop w:val="0"/>
      <w:marBottom w:val="0"/>
      <w:divBdr>
        <w:top w:val="none" w:sz="0" w:space="0" w:color="auto"/>
        <w:left w:val="none" w:sz="0" w:space="0" w:color="auto"/>
        <w:bottom w:val="none" w:sz="0" w:space="0" w:color="auto"/>
        <w:right w:val="none" w:sz="0" w:space="0" w:color="auto"/>
      </w:divBdr>
    </w:div>
    <w:div w:id="1113284500">
      <w:bodyDiv w:val="1"/>
      <w:marLeft w:val="0"/>
      <w:marRight w:val="0"/>
      <w:marTop w:val="0"/>
      <w:marBottom w:val="0"/>
      <w:divBdr>
        <w:top w:val="none" w:sz="0" w:space="0" w:color="auto"/>
        <w:left w:val="none" w:sz="0" w:space="0" w:color="auto"/>
        <w:bottom w:val="none" w:sz="0" w:space="0" w:color="auto"/>
        <w:right w:val="none" w:sz="0" w:space="0" w:color="auto"/>
      </w:divBdr>
    </w:div>
    <w:div w:id="1127240514">
      <w:bodyDiv w:val="1"/>
      <w:marLeft w:val="0"/>
      <w:marRight w:val="0"/>
      <w:marTop w:val="0"/>
      <w:marBottom w:val="0"/>
      <w:divBdr>
        <w:top w:val="none" w:sz="0" w:space="0" w:color="auto"/>
        <w:left w:val="none" w:sz="0" w:space="0" w:color="auto"/>
        <w:bottom w:val="none" w:sz="0" w:space="0" w:color="auto"/>
        <w:right w:val="none" w:sz="0" w:space="0" w:color="auto"/>
      </w:divBdr>
    </w:div>
    <w:div w:id="1134369894">
      <w:bodyDiv w:val="1"/>
      <w:marLeft w:val="0"/>
      <w:marRight w:val="0"/>
      <w:marTop w:val="0"/>
      <w:marBottom w:val="0"/>
      <w:divBdr>
        <w:top w:val="none" w:sz="0" w:space="0" w:color="auto"/>
        <w:left w:val="none" w:sz="0" w:space="0" w:color="auto"/>
        <w:bottom w:val="none" w:sz="0" w:space="0" w:color="auto"/>
        <w:right w:val="none" w:sz="0" w:space="0" w:color="auto"/>
      </w:divBdr>
    </w:div>
    <w:div w:id="1202330117">
      <w:bodyDiv w:val="1"/>
      <w:marLeft w:val="0"/>
      <w:marRight w:val="0"/>
      <w:marTop w:val="0"/>
      <w:marBottom w:val="0"/>
      <w:divBdr>
        <w:top w:val="none" w:sz="0" w:space="0" w:color="auto"/>
        <w:left w:val="none" w:sz="0" w:space="0" w:color="auto"/>
        <w:bottom w:val="none" w:sz="0" w:space="0" w:color="auto"/>
        <w:right w:val="none" w:sz="0" w:space="0" w:color="auto"/>
      </w:divBdr>
    </w:div>
    <w:div w:id="1260721785">
      <w:bodyDiv w:val="1"/>
      <w:marLeft w:val="0"/>
      <w:marRight w:val="0"/>
      <w:marTop w:val="0"/>
      <w:marBottom w:val="0"/>
      <w:divBdr>
        <w:top w:val="none" w:sz="0" w:space="0" w:color="auto"/>
        <w:left w:val="none" w:sz="0" w:space="0" w:color="auto"/>
        <w:bottom w:val="none" w:sz="0" w:space="0" w:color="auto"/>
        <w:right w:val="none" w:sz="0" w:space="0" w:color="auto"/>
      </w:divBdr>
    </w:div>
    <w:div w:id="1272854990">
      <w:bodyDiv w:val="1"/>
      <w:marLeft w:val="0"/>
      <w:marRight w:val="0"/>
      <w:marTop w:val="0"/>
      <w:marBottom w:val="0"/>
      <w:divBdr>
        <w:top w:val="none" w:sz="0" w:space="0" w:color="auto"/>
        <w:left w:val="none" w:sz="0" w:space="0" w:color="auto"/>
        <w:bottom w:val="none" w:sz="0" w:space="0" w:color="auto"/>
        <w:right w:val="none" w:sz="0" w:space="0" w:color="auto"/>
      </w:divBdr>
    </w:div>
    <w:div w:id="1345665737">
      <w:bodyDiv w:val="1"/>
      <w:marLeft w:val="0"/>
      <w:marRight w:val="0"/>
      <w:marTop w:val="0"/>
      <w:marBottom w:val="0"/>
      <w:divBdr>
        <w:top w:val="none" w:sz="0" w:space="0" w:color="auto"/>
        <w:left w:val="none" w:sz="0" w:space="0" w:color="auto"/>
        <w:bottom w:val="none" w:sz="0" w:space="0" w:color="auto"/>
        <w:right w:val="none" w:sz="0" w:space="0" w:color="auto"/>
      </w:divBdr>
    </w:div>
    <w:div w:id="1451630229">
      <w:bodyDiv w:val="1"/>
      <w:marLeft w:val="0"/>
      <w:marRight w:val="0"/>
      <w:marTop w:val="0"/>
      <w:marBottom w:val="0"/>
      <w:divBdr>
        <w:top w:val="none" w:sz="0" w:space="0" w:color="auto"/>
        <w:left w:val="none" w:sz="0" w:space="0" w:color="auto"/>
        <w:bottom w:val="none" w:sz="0" w:space="0" w:color="auto"/>
        <w:right w:val="none" w:sz="0" w:space="0" w:color="auto"/>
      </w:divBdr>
    </w:div>
    <w:div w:id="1498955662">
      <w:bodyDiv w:val="1"/>
      <w:marLeft w:val="0"/>
      <w:marRight w:val="0"/>
      <w:marTop w:val="0"/>
      <w:marBottom w:val="0"/>
      <w:divBdr>
        <w:top w:val="none" w:sz="0" w:space="0" w:color="auto"/>
        <w:left w:val="none" w:sz="0" w:space="0" w:color="auto"/>
        <w:bottom w:val="none" w:sz="0" w:space="0" w:color="auto"/>
        <w:right w:val="none" w:sz="0" w:space="0" w:color="auto"/>
      </w:divBdr>
    </w:div>
    <w:div w:id="1528713110">
      <w:bodyDiv w:val="1"/>
      <w:marLeft w:val="0"/>
      <w:marRight w:val="0"/>
      <w:marTop w:val="0"/>
      <w:marBottom w:val="0"/>
      <w:divBdr>
        <w:top w:val="none" w:sz="0" w:space="0" w:color="auto"/>
        <w:left w:val="none" w:sz="0" w:space="0" w:color="auto"/>
        <w:bottom w:val="none" w:sz="0" w:space="0" w:color="auto"/>
        <w:right w:val="none" w:sz="0" w:space="0" w:color="auto"/>
      </w:divBdr>
    </w:div>
    <w:div w:id="1530755823">
      <w:bodyDiv w:val="1"/>
      <w:marLeft w:val="0"/>
      <w:marRight w:val="0"/>
      <w:marTop w:val="0"/>
      <w:marBottom w:val="0"/>
      <w:divBdr>
        <w:top w:val="none" w:sz="0" w:space="0" w:color="auto"/>
        <w:left w:val="none" w:sz="0" w:space="0" w:color="auto"/>
        <w:bottom w:val="none" w:sz="0" w:space="0" w:color="auto"/>
        <w:right w:val="none" w:sz="0" w:space="0" w:color="auto"/>
      </w:divBdr>
    </w:div>
    <w:div w:id="1547526307">
      <w:bodyDiv w:val="1"/>
      <w:marLeft w:val="0"/>
      <w:marRight w:val="0"/>
      <w:marTop w:val="0"/>
      <w:marBottom w:val="0"/>
      <w:divBdr>
        <w:top w:val="none" w:sz="0" w:space="0" w:color="auto"/>
        <w:left w:val="none" w:sz="0" w:space="0" w:color="auto"/>
        <w:bottom w:val="none" w:sz="0" w:space="0" w:color="auto"/>
        <w:right w:val="none" w:sz="0" w:space="0" w:color="auto"/>
      </w:divBdr>
    </w:div>
    <w:div w:id="1548377199">
      <w:bodyDiv w:val="1"/>
      <w:marLeft w:val="0"/>
      <w:marRight w:val="0"/>
      <w:marTop w:val="0"/>
      <w:marBottom w:val="0"/>
      <w:divBdr>
        <w:top w:val="none" w:sz="0" w:space="0" w:color="auto"/>
        <w:left w:val="none" w:sz="0" w:space="0" w:color="auto"/>
        <w:bottom w:val="none" w:sz="0" w:space="0" w:color="auto"/>
        <w:right w:val="none" w:sz="0" w:space="0" w:color="auto"/>
      </w:divBdr>
    </w:div>
    <w:div w:id="1588539200">
      <w:bodyDiv w:val="1"/>
      <w:marLeft w:val="0"/>
      <w:marRight w:val="0"/>
      <w:marTop w:val="0"/>
      <w:marBottom w:val="0"/>
      <w:divBdr>
        <w:top w:val="none" w:sz="0" w:space="0" w:color="auto"/>
        <w:left w:val="none" w:sz="0" w:space="0" w:color="auto"/>
        <w:bottom w:val="none" w:sz="0" w:space="0" w:color="auto"/>
        <w:right w:val="none" w:sz="0" w:space="0" w:color="auto"/>
      </w:divBdr>
    </w:div>
    <w:div w:id="1616407773">
      <w:bodyDiv w:val="1"/>
      <w:marLeft w:val="0"/>
      <w:marRight w:val="0"/>
      <w:marTop w:val="0"/>
      <w:marBottom w:val="0"/>
      <w:divBdr>
        <w:top w:val="none" w:sz="0" w:space="0" w:color="auto"/>
        <w:left w:val="none" w:sz="0" w:space="0" w:color="auto"/>
        <w:bottom w:val="none" w:sz="0" w:space="0" w:color="auto"/>
        <w:right w:val="none" w:sz="0" w:space="0" w:color="auto"/>
      </w:divBdr>
    </w:div>
    <w:div w:id="1635679509">
      <w:bodyDiv w:val="1"/>
      <w:marLeft w:val="0"/>
      <w:marRight w:val="0"/>
      <w:marTop w:val="0"/>
      <w:marBottom w:val="0"/>
      <w:divBdr>
        <w:top w:val="none" w:sz="0" w:space="0" w:color="auto"/>
        <w:left w:val="none" w:sz="0" w:space="0" w:color="auto"/>
        <w:bottom w:val="none" w:sz="0" w:space="0" w:color="auto"/>
        <w:right w:val="none" w:sz="0" w:space="0" w:color="auto"/>
      </w:divBdr>
    </w:div>
    <w:div w:id="1644888953">
      <w:bodyDiv w:val="1"/>
      <w:marLeft w:val="0"/>
      <w:marRight w:val="0"/>
      <w:marTop w:val="0"/>
      <w:marBottom w:val="0"/>
      <w:divBdr>
        <w:top w:val="none" w:sz="0" w:space="0" w:color="auto"/>
        <w:left w:val="none" w:sz="0" w:space="0" w:color="auto"/>
        <w:bottom w:val="none" w:sz="0" w:space="0" w:color="auto"/>
        <w:right w:val="none" w:sz="0" w:space="0" w:color="auto"/>
      </w:divBdr>
    </w:div>
    <w:div w:id="1796824914">
      <w:bodyDiv w:val="1"/>
      <w:marLeft w:val="0"/>
      <w:marRight w:val="0"/>
      <w:marTop w:val="0"/>
      <w:marBottom w:val="0"/>
      <w:divBdr>
        <w:top w:val="none" w:sz="0" w:space="0" w:color="auto"/>
        <w:left w:val="none" w:sz="0" w:space="0" w:color="auto"/>
        <w:bottom w:val="none" w:sz="0" w:space="0" w:color="auto"/>
        <w:right w:val="none" w:sz="0" w:space="0" w:color="auto"/>
      </w:divBdr>
    </w:div>
    <w:div w:id="1804032512">
      <w:bodyDiv w:val="1"/>
      <w:marLeft w:val="0"/>
      <w:marRight w:val="0"/>
      <w:marTop w:val="0"/>
      <w:marBottom w:val="0"/>
      <w:divBdr>
        <w:top w:val="none" w:sz="0" w:space="0" w:color="auto"/>
        <w:left w:val="none" w:sz="0" w:space="0" w:color="auto"/>
        <w:bottom w:val="none" w:sz="0" w:space="0" w:color="auto"/>
        <w:right w:val="none" w:sz="0" w:space="0" w:color="auto"/>
      </w:divBdr>
    </w:div>
    <w:div w:id="1857109837">
      <w:bodyDiv w:val="1"/>
      <w:marLeft w:val="0"/>
      <w:marRight w:val="0"/>
      <w:marTop w:val="0"/>
      <w:marBottom w:val="0"/>
      <w:divBdr>
        <w:top w:val="none" w:sz="0" w:space="0" w:color="auto"/>
        <w:left w:val="none" w:sz="0" w:space="0" w:color="auto"/>
        <w:bottom w:val="none" w:sz="0" w:space="0" w:color="auto"/>
        <w:right w:val="none" w:sz="0" w:space="0" w:color="auto"/>
      </w:divBdr>
    </w:div>
    <w:div w:id="1917857179">
      <w:bodyDiv w:val="1"/>
      <w:marLeft w:val="0"/>
      <w:marRight w:val="0"/>
      <w:marTop w:val="0"/>
      <w:marBottom w:val="0"/>
      <w:divBdr>
        <w:top w:val="none" w:sz="0" w:space="0" w:color="auto"/>
        <w:left w:val="none" w:sz="0" w:space="0" w:color="auto"/>
        <w:bottom w:val="none" w:sz="0" w:space="0" w:color="auto"/>
        <w:right w:val="none" w:sz="0" w:space="0" w:color="auto"/>
      </w:divBdr>
    </w:div>
    <w:div w:id="1926496887">
      <w:bodyDiv w:val="1"/>
      <w:marLeft w:val="0"/>
      <w:marRight w:val="0"/>
      <w:marTop w:val="0"/>
      <w:marBottom w:val="0"/>
      <w:divBdr>
        <w:top w:val="none" w:sz="0" w:space="0" w:color="auto"/>
        <w:left w:val="none" w:sz="0" w:space="0" w:color="auto"/>
        <w:bottom w:val="none" w:sz="0" w:space="0" w:color="auto"/>
        <w:right w:val="none" w:sz="0" w:space="0" w:color="auto"/>
      </w:divBdr>
    </w:div>
    <w:div w:id="1952320724">
      <w:bodyDiv w:val="1"/>
      <w:marLeft w:val="0"/>
      <w:marRight w:val="0"/>
      <w:marTop w:val="0"/>
      <w:marBottom w:val="0"/>
      <w:divBdr>
        <w:top w:val="none" w:sz="0" w:space="0" w:color="auto"/>
        <w:left w:val="none" w:sz="0" w:space="0" w:color="auto"/>
        <w:bottom w:val="none" w:sz="0" w:space="0" w:color="auto"/>
        <w:right w:val="none" w:sz="0" w:space="0" w:color="auto"/>
      </w:divBdr>
    </w:div>
    <w:div w:id="1982343095">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 w:id="2037727105">
      <w:bodyDiv w:val="1"/>
      <w:marLeft w:val="0"/>
      <w:marRight w:val="0"/>
      <w:marTop w:val="0"/>
      <w:marBottom w:val="0"/>
      <w:divBdr>
        <w:top w:val="none" w:sz="0" w:space="0" w:color="auto"/>
        <w:left w:val="none" w:sz="0" w:space="0" w:color="auto"/>
        <w:bottom w:val="none" w:sz="0" w:space="0" w:color="auto"/>
        <w:right w:val="none" w:sz="0" w:space="0" w:color="auto"/>
      </w:divBdr>
      <w:divsChild>
        <w:div w:id="1321539066">
          <w:marLeft w:val="0"/>
          <w:marRight w:val="0"/>
          <w:marTop w:val="0"/>
          <w:marBottom w:val="0"/>
          <w:divBdr>
            <w:top w:val="none" w:sz="0" w:space="0" w:color="auto"/>
            <w:left w:val="none" w:sz="0" w:space="0" w:color="auto"/>
            <w:bottom w:val="none" w:sz="0" w:space="0" w:color="auto"/>
            <w:right w:val="none" w:sz="0" w:space="0" w:color="auto"/>
          </w:divBdr>
          <w:divsChild>
            <w:div w:id="1156384977">
              <w:marLeft w:val="0"/>
              <w:marRight w:val="0"/>
              <w:marTop w:val="0"/>
              <w:marBottom w:val="0"/>
              <w:divBdr>
                <w:top w:val="none" w:sz="0" w:space="0" w:color="auto"/>
                <w:left w:val="none" w:sz="0" w:space="0" w:color="auto"/>
                <w:bottom w:val="none" w:sz="0" w:space="0" w:color="auto"/>
                <w:right w:val="none" w:sz="0" w:space="0" w:color="auto"/>
              </w:divBdr>
              <w:divsChild>
                <w:div w:id="2004625105">
                  <w:marLeft w:val="0"/>
                  <w:marRight w:val="0"/>
                  <w:marTop w:val="0"/>
                  <w:marBottom w:val="0"/>
                  <w:divBdr>
                    <w:top w:val="none" w:sz="0" w:space="0" w:color="auto"/>
                    <w:left w:val="none" w:sz="0" w:space="0" w:color="auto"/>
                    <w:bottom w:val="none" w:sz="0" w:space="0" w:color="auto"/>
                    <w:right w:val="none" w:sz="0" w:space="0" w:color="auto"/>
                  </w:divBdr>
                  <w:divsChild>
                    <w:div w:id="1828552152">
                      <w:marLeft w:val="0"/>
                      <w:marRight w:val="0"/>
                      <w:marTop w:val="0"/>
                      <w:marBottom w:val="0"/>
                      <w:divBdr>
                        <w:top w:val="none" w:sz="0" w:space="0" w:color="auto"/>
                        <w:left w:val="none" w:sz="0" w:space="0" w:color="auto"/>
                        <w:bottom w:val="none" w:sz="0" w:space="0" w:color="auto"/>
                        <w:right w:val="none" w:sz="0" w:space="0" w:color="auto"/>
                      </w:divBdr>
                      <w:divsChild>
                        <w:div w:id="1641835954">
                          <w:marLeft w:val="0"/>
                          <w:marRight w:val="0"/>
                          <w:marTop w:val="0"/>
                          <w:marBottom w:val="0"/>
                          <w:divBdr>
                            <w:top w:val="none" w:sz="0" w:space="0" w:color="auto"/>
                            <w:left w:val="none" w:sz="0" w:space="0" w:color="auto"/>
                            <w:bottom w:val="none" w:sz="0" w:space="0" w:color="auto"/>
                            <w:right w:val="none" w:sz="0" w:space="0" w:color="auto"/>
                          </w:divBdr>
                          <w:divsChild>
                            <w:div w:id="2094082941">
                              <w:marLeft w:val="0"/>
                              <w:marRight w:val="300"/>
                              <w:marTop w:val="180"/>
                              <w:marBottom w:val="0"/>
                              <w:divBdr>
                                <w:top w:val="none" w:sz="0" w:space="0" w:color="auto"/>
                                <w:left w:val="none" w:sz="0" w:space="0" w:color="auto"/>
                                <w:bottom w:val="none" w:sz="0" w:space="0" w:color="auto"/>
                                <w:right w:val="none" w:sz="0" w:space="0" w:color="auto"/>
                              </w:divBdr>
                              <w:divsChild>
                                <w:div w:id="18560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49946">
          <w:marLeft w:val="0"/>
          <w:marRight w:val="0"/>
          <w:marTop w:val="0"/>
          <w:marBottom w:val="0"/>
          <w:divBdr>
            <w:top w:val="none" w:sz="0" w:space="0" w:color="auto"/>
            <w:left w:val="none" w:sz="0" w:space="0" w:color="auto"/>
            <w:bottom w:val="none" w:sz="0" w:space="0" w:color="auto"/>
            <w:right w:val="none" w:sz="0" w:space="0" w:color="auto"/>
          </w:divBdr>
          <w:divsChild>
            <w:div w:id="1721632081">
              <w:marLeft w:val="0"/>
              <w:marRight w:val="0"/>
              <w:marTop w:val="0"/>
              <w:marBottom w:val="0"/>
              <w:divBdr>
                <w:top w:val="none" w:sz="0" w:space="0" w:color="auto"/>
                <w:left w:val="none" w:sz="0" w:space="0" w:color="auto"/>
                <w:bottom w:val="none" w:sz="0" w:space="0" w:color="auto"/>
                <w:right w:val="none" w:sz="0" w:space="0" w:color="auto"/>
              </w:divBdr>
              <w:divsChild>
                <w:div w:id="1218904137">
                  <w:marLeft w:val="0"/>
                  <w:marRight w:val="0"/>
                  <w:marTop w:val="0"/>
                  <w:marBottom w:val="0"/>
                  <w:divBdr>
                    <w:top w:val="none" w:sz="0" w:space="0" w:color="auto"/>
                    <w:left w:val="none" w:sz="0" w:space="0" w:color="auto"/>
                    <w:bottom w:val="none" w:sz="0" w:space="0" w:color="auto"/>
                    <w:right w:val="none" w:sz="0" w:space="0" w:color="auto"/>
                  </w:divBdr>
                  <w:divsChild>
                    <w:div w:id="529999836">
                      <w:marLeft w:val="0"/>
                      <w:marRight w:val="0"/>
                      <w:marTop w:val="0"/>
                      <w:marBottom w:val="0"/>
                      <w:divBdr>
                        <w:top w:val="none" w:sz="0" w:space="0" w:color="auto"/>
                        <w:left w:val="none" w:sz="0" w:space="0" w:color="auto"/>
                        <w:bottom w:val="none" w:sz="0" w:space="0" w:color="auto"/>
                        <w:right w:val="none" w:sz="0" w:space="0" w:color="auto"/>
                      </w:divBdr>
                      <w:divsChild>
                        <w:div w:id="4085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816228">
      <w:bodyDiv w:val="1"/>
      <w:marLeft w:val="0"/>
      <w:marRight w:val="0"/>
      <w:marTop w:val="0"/>
      <w:marBottom w:val="0"/>
      <w:divBdr>
        <w:top w:val="none" w:sz="0" w:space="0" w:color="auto"/>
        <w:left w:val="none" w:sz="0" w:space="0" w:color="auto"/>
        <w:bottom w:val="none" w:sz="0" w:space="0" w:color="auto"/>
        <w:right w:val="none" w:sz="0" w:space="0" w:color="auto"/>
      </w:divBdr>
    </w:div>
    <w:div w:id="2092463994">
      <w:bodyDiv w:val="1"/>
      <w:marLeft w:val="0"/>
      <w:marRight w:val="0"/>
      <w:marTop w:val="0"/>
      <w:marBottom w:val="0"/>
      <w:divBdr>
        <w:top w:val="none" w:sz="0" w:space="0" w:color="auto"/>
        <w:left w:val="none" w:sz="0" w:space="0" w:color="auto"/>
        <w:bottom w:val="none" w:sz="0" w:space="0" w:color="auto"/>
        <w:right w:val="none" w:sz="0" w:space="0" w:color="auto"/>
      </w:divBdr>
    </w:div>
    <w:div w:id="2142460760">
      <w:bodyDiv w:val="1"/>
      <w:marLeft w:val="0"/>
      <w:marRight w:val="0"/>
      <w:marTop w:val="0"/>
      <w:marBottom w:val="0"/>
      <w:divBdr>
        <w:top w:val="none" w:sz="0" w:space="0" w:color="auto"/>
        <w:left w:val="none" w:sz="0" w:space="0" w:color="auto"/>
        <w:bottom w:val="none" w:sz="0" w:space="0" w:color="auto"/>
        <w:right w:val="none" w:sz="0" w:space="0" w:color="auto"/>
      </w:divBdr>
      <w:divsChild>
        <w:div w:id="1188174538">
          <w:marLeft w:val="0"/>
          <w:marRight w:val="0"/>
          <w:marTop w:val="30"/>
          <w:marBottom w:val="30"/>
          <w:divBdr>
            <w:top w:val="none" w:sz="0" w:space="0" w:color="auto"/>
            <w:left w:val="none" w:sz="0" w:space="0" w:color="auto"/>
            <w:bottom w:val="none" w:sz="0" w:space="0" w:color="auto"/>
            <w:right w:val="none" w:sz="0" w:space="0" w:color="auto"/>
          </w:divBdr>
        </w:div>
        <w:div w:id="1237207492">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L:2011:192:0017:0032:EN:PDF" TargetMode="External"/><Relationship Id="rId18" Type="http://schemas.openxmlformats.org/officeDocument/2006/relationships/hyperlink" Target="http://www.instat.gov.al/media/3705/psz-2017-2021_english.pdf" TargetMode="External"/><Relationship Id="rId26" Type="http://schemas.openxmlformats.org/officeDocument/2006/relationships/hyperlink" Target="http://www.instat.gov.al/en/themes/industry-trade-and-services/tourism/" TargetMode="External"/><Relationship Id="rId3" Type="http://schemas.openxmlformats.org/officeDocument/2006/relationships/styles" Target="styles.xml"/><Relationship Id="rId21" Type="http://schemas.openxmlformats.org/officeDocument/2006/relationships/hyperlink" Target="mailto:info@instat.gov.a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urostat/web/nuts/nuts-maps" TargetMode="External"/><Relationship Id="rId17" Type="http://schemas.openxmlformats.org/officeDocument/2006/relationships/hyperlink" Target="http://www.instat.gov.al/media/3972/law-no17-2018-on-official-statistics.pdf" TargetMode="External"/><Relationship Id="rId25" Type="http://schemas.openxmlformats.org/officeDocument/2006/relationships/hyperlink" Target="http://www.instat.gov.al/en/publications/book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ur-lex.europa.eu/LexUriServ/LexUriServ.do?uri=OJ:L:2011:276:0013:0021:EN:PDF" TargetMode="External"/><Relationship Id="rId20" Type="http://schemas.openxmlformats.org/officeDocument/2006/relationships/hyperlink" Target="http://instat.gov.al/media/7355/accommodation-establishments-q1-and-q2-2020.pdf" TargetMode="External"/><Relationship Id="rId29" Type="http://schemas.openxmlformats.org/officeDocument/2006/relationships/hyperlink" Target="http://www.instat.gov.al/media/2940/revision_policy_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urostat/documents/3859598/5902521/KS-RA-07-015-EN.PDF" TargetMode="External"/><Relationship Id="rId24" Type="http://schemas.openxmlformats.org/officeDocument/2006/relationships/hyperlink" Target="http://www.instat.gov.al/en/themes/industry-trade-and-services/tourism/" TargetMode="External"/><Relationship Id="rId32" Type="http://schemas.openxmlformats.org/officeDocument/2006/relationships/hyperlink" Target="http://www.instat.gov.al/media/2939/the_errors_treatment_policy.pdf" TargetMode="External"/><Relationship Id="rId5" Type="http://schemas.openxmlformats.org/officeDocument/2006/relationships/settings" Target="settings.xml"/><Relationship Id="rId15" Type="http://schemas.openxmlformats.org/officeDocument/2006/relationships/hyperlink" Target="http://eur-lex.europa.eu/LexUriServ/LexUriServ.do?uri=OJ:L:2011:192:0017:0032:EN:PDF" TargetMode="External"/><Relationship Id="rId23" Type="http://schemas.openxmlformats.org/officeDocument/2006/relationships/hyperlink" Target="http://www.instat.gov.al/en/about-us/search-for-data/data-request/" TargetMode="External"/><Relationship Id="rId28" Type="http://schemas.openxmlformats.org/officeDocument/2006/relationships/hyperlink" Target="https://eur-lex.europa.eu/legal-content/EN/TXT/PDF/?uri=CELEX:32011R0692" TargetMode="External"/><Relationship Id="rId36" Type="http://schemas.openxmlformats.org/officeDocument/2006/relationships/theme" Target="theme/theme1.xml"/><Relationship Id="rId10" Type="http://schemas.openxmlformats.org/officeDocument/2006/relationships/hyperlink" Target="https://eur-lex.europa.eu/legal-content/EN/TXT/PDF/?uri=CELEX:32011R0692" TargetMode="External"/><Relationship Id="rId19" Type="http://schemas.openxmlformats.org/officeDocument/2006/relationships/hyperlink" Target="http://www.instat.gov.al/en/publications/calendar/" TargetMode="External"/><Relationship Id="rId31" Type="http://schemas.openxmlformats.org/officeDocument/2006/relationships/hyperlink" Target="http://www.instat.gov.al/media/2940/revision_policy_2016.pdf" TargetMode="External"/><Relationship Id="rId4" Type="http://schemas.microsoft.com/office/2007/relationships/stylesWithEffects" Target="stylesWithEffects.xml"/><Relationship Id="rId9" Type="http://schemas.openxmlformats.org/officeDocument/2006/relationships/hyperlink" Target="mailto:ebushati@instat.gov.al" TargetMode="External"/><Relationship Id="rId14" Type="http://schemas.openxmlformats.org/officeDocument/2006/relationships/hyperlink" Target="https://ec.europa.eu/eurostat/documents/3859598/6454997/KS-GQ-14-013-EN-N.pdf/166605aa-c990-40c4-b9f7-59c297154277" TargetMode="External"/><Relationship Id="rId22" Type="http://schemas.openxmlformats.org/officeDocument/2006/relationships/hyperlink" Target="http://instat.gov.al/en/themes/industry-trade-and-services/tourism/" TargetMode="External"/><Relationship Id="rId27" Type="http://schemas.openxmlformats.org/officeDocument/2006/relationships/hyperlink" Target="http://www.instat.gov.al/en/about-us/search-for-data/data-request/" TargetMode="External"/><Relationship Id="rId30" Type="http://schemas.openxmlformats.org/officeDocument/2006/relationships/hyperlink" Target="http://www.instat.gov.al/media/2939/the_errors_treatment_policy.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63E8-E546-4C3F-A98A-1FD64C19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4817</Words>
  <Characters>27459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Elona Berberi</cp:lastModifiedBy>
  <cp:revision>15</cp:revision>
  <dcterms:created xsi:type="dcterms:W3CDTF">2021-04-13T08:32:00Z</dcterms:created>
  <dcterms:modified xsi:type="dcterms:W3CDTF">2021-04-13T09:07:00Z</dcterms:modified>
</cp:coreProperties>
</file>