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04A15" w14:textId="77777777" w:rsidR="00C41DD5" w:rsidRPr="008C684F" w:rsidRDefault="00C41DD5" w:rsidP="00C41DD5">
      <w:pPr>
        <w:rPr>
          <w:rFonts w:ascii="Times New Roman" w:hAnsi="Times New Roman" w:cs="Times New Roman"/>
        </w:rPr>
      </w:pPr>
    </w:p>
    <w:p w14:paraId="4DC6B81B" w14:textId="77777777" w:rsidR="00C41DD5" w:rsidRPr="008C684F" w:rsidRDefault="00C41DD5" w:rsidP="00C41DD5">
      <w:pPr>
        <w:rPr>
          <w:rFonts w:ascii="Times New Roman" w:hAnsi="Times New Roman" w:cs="Times New Roman"/>
        </w:rPr>
      </w:pPr>
    </w:p>
    <w:p w14:paraId="5B91D1A7" w14:textId="77777777" w:rsidR="00C41DD5" w:rsidRPr="008C684F" w:rsidRDefault="00C41DD5" w:rsidP="00C41DD5">
      <w:pPr>
        <w:rPr>
          <w:rFonts w:ascii="Times New Roman" w:hAnsi="Times New Roman" w:cs="Times New Roman"/>
        </w:rPr>
      </w:pPr>
    </w:p>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C41DD5" w:rsidRPr="008C684F" w14:paraId="3507D6B3" w14:textId="77777777" w:rsidTr="00911357">
        <w:trPr>
          <w:trHeight w:val="1979"/>
          <w:jc w:val="center"/>
        </w:trPr>
        <w:tc>
          <w:tcPr>
            <w:tcW w:w="8351" w:type="dxa"/>
            <w:shd w:val="clear" w:color="auto" w:fill="FBD4B4" w:themeFill="accent6" w:themeFillTint="66"/>
          </w:tcPr>
          <w:p w14:paraId="453A6C6C" w14:textId="77777777" w:rsidR="00844BD2" w:rsidRPr="008C684F" w:rsidRDefault="00844BD2" w:rsidP="00844BD2">
            <w:pPr>
              <w:spacing w:before="110"/>
              <w:ind w:left="667" w:right="670"/>
              <w:jc w:val="center"/>
              <w:rPr>
                <w:rFonts w:ascii="Times New Roman" w:eastAsia="Times New Roman" w:hAnsi="Times New Roman" w:cs="Times New Roman"/>
                <w:b/>
                <w:bCs/>
                <w:sz w:val="36"/>
              </w:rPr>
            </w:pPr>
            <w:r w:rsidRPr="008C684F">
              <w:rPr>
                <w:rFonts w:ascii="Times New Roman" w:hAnsi="Times New Roman" w:cs="Times New Roman"/>
                <w:b/>
                <w:bCs/>
                <w:sz w:val="36"/>
              </w:rPr>
              <w:t>CONSUMER PRICE INDEX/ HARMONISED INDEX OF CONSUMER PRICES</w:t>
            </w:r>
          </w:p>
          <w:p w14:paraId="049945FC" w14:textId="77777777" w:rsidR="00C41DD5" w:rsidRPr="008C684F" w:rsidRDefault="00C41DD5" w:rsidP="00911357">
            <w:pPr>
              <w:pStyle w:val="Default"/>
              <w:spacing w:before="120" w:after="120"/>
              <w:jc w:val="center"/>
              <w:rPr>
                <w:rFonts w:ascii="Times New Roman" w:hAnsi="Times New Roman" w:cs="Times New Roman"/>
                <w:sz w:val="28"/>
              </w:rPr>
            </w:pPr>
            <w:r w:rsidRPr="008C684F">
              <w:rPr>
                <w:rFonts w:ascii="Times New Roman" w:hAnsi="Times New Roman" w:cs="Times New Roman"/>
                <w:sz w:val="28"/>
              </w:rPr>
              <w:t>Reference Metadata in Euro SDMX Metadata Structure</w:t>
            </w:r>
          </w:p>
          <w:p w14:paraId="071E8CBF" w14:textId="77777777" w:rsidR="00C41DD5" w:rsidRPr="008C684F" w:rsidRDefault="00C41DD5" w:rsidP="00911357">
            <w:pPr>
              <w:pStyle w:val="Default"/>
              <w:spacing w:before="120" w:after="120"/>
              <w:jc w:val="center"/>
              <w:rPr>
                <w:rFonts w:ascii="Times New Roman" w:hAnsi="Times New Roman" w:cs="Times New Roman"/>
                <w:sz w:val="28"/>
              </w:rPr>
            </w:pPr>
            <w:r w:rsidRPr="008C684F">
              <w:rPr>
                <w:rFonts w:ascii="Times New Roman" w:hAnsi="Times New Roman" w:cs="Times New Roman"/>
                <w:sz w:val="28"/>
              </w:rPr>
              <w:t xml:space="preserve"> (ESMS)</w:t>
            </w:r>
          </w:p>
          <w:p w14:paraId="3A0A37B4" w14:textId="77777777" w:rsidR="00C41DD5" w:rsidRPr="008C684F" w:rsidRDefault="00C41DD5" w:rsidP="00911357">
            <w:pPr>
              <w:jc w:val="center"/>
              <w:rPr>
                <w:rFonts w:ascii="Times New Roman" w:eastAsia="Times New Roman" w:hAnsi="Times New Roman" w:cs="Times New Roman"/>
                <w:bCs/>
                <w:color w:val="000000"/>
                <w:sz w:val="36"/>
              </w:rPr>
            </w:pPr>
            <w:r w:rsidRPr="008C684F">
              <w:rPr>
                <w:rFonts w:ascii="Times New Roman" w:eastAsia="Times New Roman" w:hAnsi="Times New Roman" w:cs="Times New Roman"/>
                <w:bCs/>
                <w:color w:val="000000"/>
                <w:sz w:val="36"/>
              </w:rPr>
              <w:t>INSTAT</w:t>
            </w:r>
          </w:p>
        </w:tc>
      </w:tr>
    </w:tbl>
    <w:p w14:paraId="08C4507F" w14:textId="77777777" w:rsidR="00C41DD5" w:rsidRPr="008C684F" w:rsidRDefault="00C41DD5" w:rsidP="00C41DD5">
      <w:pPr>
        <w:rPr>
          <w:rFonts w:ascii="Times New Roman" w:hAnsi="Times New Roman" w:cs="Times New Roman"/>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6E50C5D7" w14:textId="77777777" w:rsidR="00C41DD5" w:rsidRPr="008C684F" w:rsidRDefault="00C41DD5" w:rsidP="00C41DD5">
          <w:pPr>
            <w:pStyle w:val="TOCHeading"/>
            <w:rPr>
              <w:rFonts w:ascii="Times New Roman" w:hAnsi="Times New Roman" w:cs="Times New Roman"/>
              <w:sz w:val="24"/>
              <w:szCs w:val="24"/>
            </w:rPr>
          </w:pPr>
          <w:r w:rsidRPr="008C684F">
            <w:rPr>
              <w:rFonts w:ascii="Times New Roman" w:hAnsi="Times New Roman" w:cs="Times New Roman"/>
              <w:color w:val="000000" w:themeColor="text1"/>
              <w:szCs w:val="24"/>
            </w:rPr>
            <w:t>Reference Metadata</w:t>
          </w:r>
          <w:r w:rsidRPr="008C684F">
            <w:rPr>
              <w:rFonts w:ascii="Times New Roman" w:hAnsi="Times New Roman" w:cs="Times New Roman"/>
              <w:szCs w:val="24"/>
            </w:rPr>
            <w:t xml:space="preserve">   </w:t>
          </w:r>
        </w:p>
        <w:p w14:paraId="4F131466" w14:textId="4DF38A13" w:rsidR="00097764" w:rsidRDefault="00C41DD5">
          <w:pPr>
            <w:pStyle w:val="TOC1"/>
            <w:tabs>
              <w:tab w:val="right" w:leader="dot" w:pos="10456"/>
            </w:tabs>
            <w:rPr>
              <w:rFonts w:eastAsiaTheme="minorEastAsia"/>
              <w:noProof/>
              <w:lang w:val="en-US"/>
            </w:rPr>
          </w:pPr>
          <w:r w:rsidRPr="008C684F">
            <w:rPr>
              <w:rFonts w:ascii="Times New Roman" w:hAnsi="Times New Roman" w:cs="Times New Roman"/>
              <w:sz w:val="24"/>
              <w:szCs w:val="24"/>
            </w:rPr>
            <w:fldChar w:fldCharType="begin"/>
          </w:r>
          <w:r w:rsidRPr="008C684F">
            <w:rPr>
              <w:rFonts w:ascii="Times New Roman" w:hAnsi="Times New Roman" w:cs="Times New Roman"/>
              <w:sz w:val="24"/>
              <w:szCs w:val="24"/>
            </w:rPr>
            <w:instrText xml:space="preserve"> TOC \o "1-3" \h \z \u </w:instrText>
          </w:r>
          <w:r w:rsidRPr="008C684F">
            <w:rPr>
              <w:rFonts w:ascii="Times New Roman" w:hAnsi="Times New Roman" w:cs="Times New Roman"/>
              <w:sz w:val="24"/>
              <w:szCs w:val="24"/>
            </w:rPr>
            <w:fldChar w:fldCharType="separate"/>
          </w:r>
          <w:hyperlink w:anchor="_Toc37690476" w:history="1">
            <w:r w:rsidR="00097764" w:rsidRPr="00A91F12">
              <w:rPr>
                <w:rStyle w:val="Hyperlink"/>
                <w:rFonts w:ascii="Times New Roman" w:eastAsia="Times New Roman" w:hAnsi="Times New Roman" w:cs="Times New Roman"/>
                <w:noProof/>
                <w:lang w:val="sq-AL" w:eastAsia="sq-AL"/>
              </w:rPr>
              <w:t>1. Contact</w:t>
            </w:r>
            <w:r w:rsidR="00097764">
              <w:rPr>
                <w:noProof/>
                <w:webHidden/>
              </w:rPr>
              <w:tab/>
            </w:r>
            <w:r w:rsidR="00097764">
              <w:rPr>
                <w:noProof/>
                <w:webHidden/>
              </w:rPr>
              <w:fldChar w:fldCharType="begin"/>
            </w:r>
            <w:r w:rsidR="00097764">
              <w:rPr>
                <w:noProof/>
                <w:webHidden/>
              </w:rPr>
              <w:instrText xml:space="preserve"> PAGEREF _Toc37690476 \h </w:instrText>
            </w:r>
            <w:r w:rsidR="00097764">
              <w:rPr>
                <w:noProof/>
                <w:webHidden/>
              </w:rPr>
            </w:r>
            <w:r w:rsidR="00097764">
              <w:rPr>
                <w:noProof/>
                <w:webHidden/>
              </w:rPr>
              <w:fldChar w:fldCharType="separate"/>
            </w:r>
            <w:r w:rsidR="00097764">
              <w:rPr>
                <w:noProof/>
                <w:webHidden/>
              </w:rPr>
              <w:t>2</w:t>
            </w:r>
            <w:r w:rsidR="00097764">
              <w:rPr>
                <w:noProof/>
                <w:webHidden/>
              </w:rPr>
              <w:fldChar w:fldCharType="end"/>
            </w:r>
          </w:hyperlink>
        </w:p>
        <w:p w14:paraId="2A025C68" w14:textId="3CDB0262" w:rsidR="00097764" w:rsidRDefault="00410953">
          <w:pPr>
            <w:pStyle w:val="TOC1"/>
            <w:tabs>
              <w:tab w:val="right" w:leader="dot" w:pos="10456"/>
            </w:tabs>
            <w:rPr>
              <w:rFonts w:eastAsiaTheme="minorEastAsia"/>
              <w:noProof/>
              <w:lang w:val="en-US"/>
            </w:rPr>
          </w:pPr>
          <w:hyperlink w:anchor="_Toc37690477" w:history="1">
            <w:r w:rsidR="00097764" w:rsidRPr="00A91F12">
              <w:rPr>
                <w:rStyle w:val="Hyperlink"/>
                <w:rFonts w:ascii="Times New Roman" w:eastAsia="Times New Roman" w:hAnsi="Times New Roman" w:cs="Times New Roman"/>
                <w:noProof/>
                <w:lang w:val="sq-AL" w:eastAsia="sq-AL"/>
              </w:rPr>
              <w:t>2. Metadata update</w:t>
            </w:r>
            <w:r w:rsidR="00097764">
              <w:rPr>
                <w:noProof/>
                <w:webHidden/>
              </w:rPr>
              <w:tab/>
            </w:r>
            <w:r w:rsidR="00097764">
              <w:rPr>
                <w:noProof/>
                <w:webHidden/>
              </w:rPr>
              <w:fldChar w:fldCharType="begin"/>
            </w:r>
            <w:r w:rsidR="00097764">
              <w:rPr>
                <w:noProof/>
                <w:webHidden/>
              </w:rPr>
              <w:instrText xml:space="preserve"> PAGEREF _Toc37690477 \h </w:instrText>
            </w:r>
            <w:r w:rsidR="00097764">
              <w:rPr>
                <w:noProof/>
                <w:webHidden/>
              </w:rPr>
            </w:r>
            <w:r w:rsidR="00097764">
              <w:rPr>
                <w:noProof/>
                <w:webHidden/>
              </w:rPr>
              <w:fldChar w:fldCharType="separate"/>
            </w:r>
            <w:r w:rsidR="00097764">
              <w:rPr>
                <w:noProof/>
                <w:webHidden/>
              </w:rPr>
              <w:t>2</w:t>
            </w:r>
            <w:r w:rsidR="00097764">
              <w:rPr>
                <w:noProof/>
                <w:webHidden/>
              </w:rPr>
              <w:fldChar w:fldCharType="end"/>
            </w:r>
          </w:hyperlink>
        </w:p>
        <w:p w14:paraId="379FC2F8" w14:textId="6C469324" w:rsidR="00097764" w:rsidRDefault="00410953">
          <w:pPr>
            <w:pStyle w:val="TOC1"/>
            <w:tabs>
              <w:tab w:val="right" w:leader="dot" w:pos="10456"/>
            </w:tabs>
            <w:rPr>
              <w:rFonts w:eastAsiaTheme="minorEastAsia"/>
              <w:noProof/>
              <w:lang w:val="en-US"/>
            </w:rPr>
          </w:pPr>
          <w:hyperlink w:anchor="_Toc37690478" w:history="1">
            <w:r w:rsidR="00097764" w:rsidRPr="00A91F12">
              <w:rPr>
                <w:rStyle w:val="Hyperlink"/>
                <w:rFonts w:ascii="Times New Roman" w:eastAsia="Times New Roman" w:hAnsi="Times New Roman" w:cs="Times New Roman"/>
                <w:noProof/>
                <w:lang w:val="sq-AL" w:eastAsia="sq-AL"/>
              </w:rPr>
              <w:t>3. Statistical presentation</w:t>
            </w:r>
            <w:r w:rsidR="00097764">
              <w:rPr>
                <w:noProof/>
                <w:webHidden/>
              </w:rPr>
              <w:tab/>
            </w:r>
            <w:r w:rsidR="00097764">
              <w:rPr>
                <w:noProof/>
                <w:webHidden/>
              </w:rPr>
              <w:fldChar w:fldCharType="begin"/>
            </w:r>
            <w:r w:rsidR="00097764">
              <w:rPr>
                <w:noProof/>
                <w:webHidden/>
              </w:rPr>
              <w:instrText xml:space="preserve"> PAGEREF _Toc37690478 \h </w:instrText>
            </w:r>
            <w:r w:rsidR="00097764">
              <w:rPr>
                <w:noProof/>
                <w:webHidden/>
              </w:rPr>
            </w:r>
            <w:r w:rsidR="00097764">
              <w:rPr>
                <w:noProof/>
                <w:webHidden/>
              </w:rPr>
              <w:fldChar w:fldCharType="separate"/>
            </w:r>
            <w:r w:rsidR="00097764">
              <w:rPr>
                <w:noProof/>
                <w:webHidden/>
              </w:rPr>
              <w:t>2</w:t>
            </w:r>
            <w:r w:rsidR="00097764">
              <w:rPr>
                <w:noProof/>
                <w:webHidden/>
              </w:rPr>
              <w:fldChar w:fldCharType="end"/>
            </w:r>
          </w:hyperlink>
        </w:p>
        <w:p w14:paraId="07077EFC" w14:textId="5CA4239A" w:rsidR="00097764" w:rsidRDefault="00410953">
          <w:pPr>
            <w:pStyle w:val="TOC1"/>
            <w:tabs>
              <w:tab w:val="right" w:leader="dot" w:pos="10456"/>
            </w:tabs>
            <w:rPr>
              <w:rFonts w:eastAsiaTheme="minorEastAsia"/>
              <w:noProof/>
              <w:lang w:val="en-US"/>
            </w:rPr>
          </w:pPr>
          <w:hyperlink w:anchor="_Toc37690479" w:history="1">
            <w:r w:rsidR="00097764" w:rsidRPr="00A91F12">
              <w:rPr>
                <w:rStyle w:val="Hyperlink"/>
                <w:rFonts w:ascii="Times New Roman" w:eastAsia="Times New Roman" w:hAnsi="Times New Roman" w:cs="Times New Roman"/>
                <w:noProof/>
                <w:lang w:val="sq-AL" w:eastAsia="sq-AL"/>
              </w:rPr>
              <w:t>4. Unit of measure</w:t>
            </w:r>
            <w:r w:rsidR="00097764">
              <w:rPr>
                <w:noProof/>
                <w:webHidden/>
              </w:rPr>
              <w:tab/>
            </w:r>
            <w:r w:rsidR="00097764">
              <w:rPr>
                <w:noProof/>
                <w:webHidden/>
              </w:rPr>
              <w:fldChar w:fldCharType="begin"/>
            </w:r>
            <w:r w:rsidR="00097764">
              <w:rPr>
                <w:noProof/>
                <w:webHidden/>
              </w:rPr>
              <w:instrText xml:space="preserve"> PAGEREF _Toc37690479 \h </w:instrText>
            </w:r>
            <w:r w:rsidR="00097764">
              <w:rPr>
                <w:noProof/>
                <w:webHidden/>
              </w:rPr>
            </w:r>
            <w:r w:rsidR="00097764">
              <w:rPr>
                <w:noProof/>
                <w:webHidden/>
              </w:rPr>
              <w:fldChar w:fldCharType="separate"/>
            </w:r>
            <w:r w:rsidR="00097764">
              <w:rPr>
                <w:noProof/>
                <w:webHidden/>
              </w:rPr>
              <w:t>4</w:t>
            </w:r>
            <w:r w:rsidR="00097764">
              <w:rPr>
                <w:noProof/>
                <w:webHidden/>
              </w:rPr>
              <w:fldChar w:fldCharType="end"/>
            </w:r>
          </w:hyperlink>
        </w:p>
        <w:p w14:paraId="459F49AF" w14:textId="7B8468C4" w:rsidR="00097764" w:rsidRDefault="00410953">
          <w:pPr>
            <w:pStyle w:val="TOC1"/>
            <w:tabs>
              <w:tab w:val="right" w:leader="dot" w:pos="10456"/>
            </w:tabs>
            <w:rPr>
              <w:rFonts w:eastAsiaTheme="minorEastAsia"/>
              <w:noProof/>
              <w:lang w:val="en-US"/>
            </w:rPr>
          </w:pPr>
          <w:hyperlink w:anchor="_Toc37690480" w:history="1">
            <w:r w:rsidR="00097764" w:rsidRPr="00A91F12">
              <w:rPr>
                <w:rStyle w:val="Hyperlink"/>
                <w:rFonts w:ascii="Times New Roman" w:eastAsia="Times New Roman" w:hAnsi="Times New Roman" w:cs="Times New Roman"/>
                <w:noProof/>
                <w:lang w:val="sq-AL" w:eastAsia="sq-AL"/>
              </w:rPr>
              <w:t>5. Reference period</w:t>
            </w:r>
            <w:r w:rsidR="00097764">
              <w:rPr>
                <w:noProof/>
                <w:webHidden/>
              </w:rPr>
              <w:tab/>
            </w:r>
            <w:r w:rsidR="00097764">
              <w:rPr>
                <w:noProof/>
                <w:webHidden/>
              </w:rPr>
              <w:fldChar w:fldCharType="begin"/>
            </w:r>
            <w:r w:rsidR="00097764">
              <w:rPr>
                <w:noProof/>
                <w:webHidden/>
              </w:rPr>
              <w:instrText xml:space="preserve"> PAGEREF _Toc37690480 \h </w:instrText>
            </w:r>
            <w:r w:rsidR="00097764">
              <w:rPr>
                <w:noProof/>
                <w:webHidden/>
              </w:rPr>
            </w:r>
            <w:r w:rsidR="00097764">
              <w:rPr>
                <w:noProof/>
                <w:webHidden/>
              </w:rPr>
              <w:fldChar w:fldCharType="separate"/>
            </w:r>
            <w:r w:rsidR="00097764">
              <w:rPr>
                <w:noProof/>
                <w:webHidden/>
              </w:rPr>
              <w:t>4</w:t>
            </w:r>
            <w:r w:rsidR="00097764">
              <w:rPr>
                <w:noProof/>
                <w:webHidden/>
              </w:rPr>
              <w:fldChar w:fldCharType="end"/>
            </w:r>
          </w:hyperlink>
        </w:p>
        <w:p w14:paraId="0ADAAB00" w14:textId="23330843" w:rsidR="00097764" w:rsidRDefault="00410953">
          <w:pPr>
            <w:pStyle w:val="TOC1"/>
            <w:tabs>
              <w:tab w:val="right" w:leader="dot" w:pos="10456"/>
            </w:tabs>
            <w:rPr>
              <w:rFonts w:eastAsiaTheme="minorEastAsia"/>
              <w:noProof/>
              <w:lang w:val="en-US"/>
            </w:rPr>
          </w:pPr>
          <w:hyperlink w:anchor="_Toc37690481" w:history="1">
            <w:r w:rsidR="00097764" w:rsidRPr="00A91F12">
              <w:rPr>
                <w:rStyle w:val="Hyperlink"/>
                <w:rFonts w:ascii="Times New Roman" w:eastAsia="Times New Roman" w:hAnsi="Times New Roman" w:cs="Times New Roman"/>
                <w:noProof/>
                <w:lang w:val="sq-AL" w:eastAsia="sq-AL"/>
              </w:rPr>
              <w:t>6. Institutional mandate</w:t>
            </w:r>
            <w:r w:rsidR="00097764">
              <w:rPr>
                <w:noProof/>
                <w:webHidden/>
              </w:rPr>
              <w:tab/>
            </w:r>
            <w:r w:rsidR="00097764">
              <w:rPr>
                <w:noProof/>
                <w:webHidden/>
              </w:rPr>
              <w:fldChar w:fldCharType="begin"/>
            </w:r>
            <w:r w:rsidR="00097764">
              <w:rPr>
                <w:noProof/>
                <w:webHidden/>
              </w:rPr>
              <w:instrText xml:space="preserve"> PAGEREF _Toc37690481 \h </w:instrText>
            </w:r>
            <w:r w:rsidR="00097764">
              <w:rPr>
                <w:noProof/>
                <w:webHidden/>
              </w:rPr>
            </w:r>
            <w:r w:rsidR="00097764">
              <w:rPr>
                <w:noProof/>
                <w:webHidden/>
              </w:rPr>
              <w:fldChar w:fldCharType="separate"/>
            </w:r>
            <w:r w:rsidR="00097764">
              <w:rPr>
                <w:noProof/>
                <w:webHidden/>
              </w:rPr>
              <w:t>4</w:t>
            </w:r>
            <w:r w:rsidR="00097764">
              <w:rPr>
                <w:noProof/>
                <w:webHidden/>
              </w:rPr>
              <w:fldChar w:fldCharType="end"/>
            </w:r>
          </w:hyperlink>
        </w:p>
        <w:p w14:paraId="01DECC1C" w14:textId="571F1017" w:rsidR="00097764" w:rsidRDefault="00410953">
          <w:pPr>
            <w:pStyle w:val="TOC1"/>
            <w:tabs>
              <w:tab w:val="right" w:leader="dot" w:pos="10456"/>
            </w:tabs>
            <w:rPr>
              <w:rFonts w:eastAsiaTheme="minorEastAsia"/>
              <w:noProof/>
              <w:lang w:val="en-US"/>
            </w:rPr>
          </w:pPr>
          <w:hyperlink w:anchor="_Toc37690482" w:history="1">
            <w:r w:rsidR="00097764" w:rsidRPr="00A91F12">
              <w:rPr>
                <w:rStyle w:val="Hyperlink"/>
                <w:rFonts w:ascii="Times New Roman" w:eastAsia="Times New Roman" w:hAnsi="Times New Roman" w:cs="Times New Roman"/>
                <w:noProof/>
                <w:lang w:val="sq-AL" w:eastAsia="sq-AL"/>
              </w:rPr>
              <w:t>7. Confidentiality</w:t>
            </w:r>
            <w:r w:rsidR="00097764">
              <w:rPr>
                <w:noProof/>
                <w:webHidden/>
              </w:rPr>
              <w:tab/>
            </w:r>
            <w:r w:rsidR="00097764">
              <w:rPr>
                <w:noProof/>
                <w:webHidden/>
              </w:rPr>
              <w:fldChar w:fldCharType="begin"/>
            </w:r>
            <w:r w:rsidR="00097764">
              <w:rPr>
                <w:noProof/>
                <w:webHidden/>
              </w:rPr>
              <w:instrText xml:space="preserve"> PAGEREF _Toc37690482 \h </w:instrText>
            </w:r>
            <w:r w:rsidR="00097764">
              <w:rPr>
                <w:noProof/>
                <w:webHidden/>
              </w:rPr>
            </w:r>
            <w:r w:rsidR="00097764">
              <w:rPr>
                <w:noProof/>
                <w:webHidden/>
              </w:rPr>
              <w:fldChar w:fldCharType="separate"/>
            </w:r>
            <w:r w:rsidR="00097764">
              <w:rPr>
                <w:noProof/>
                <w:webHidden/>
              </w:rPr>
              <w:t>5</w:t>
            </w:r>
            <w:r w:rsidR="00097764">
              <w:rPr>
                <w:noProof/>
                <w:webHidden/>
              </w:rPr>
              <w:fldChar w:fldCharType="end"/>
            </w:r>
          </w:hyperlink>
        </w:p>
        <w:p w14:paraId="5B490EFC" w14:textId="1B43E7EB" w:rsidR="00097764" w:rsidRDefault="00410953">
          <w:pPr>
            <w:pStyle w:val="TOC1"/>
            <w:tabs>
              <w:tab w:val="right" w:leader="dot" w:pos="10456"/>
            </w:tabs>
            <w:rPr>
              <w:rFonts w:eastAsiaTheme="minorEastAsia"/>
              <w:noProof/>
              <w:lang w:val="en-US"/>
            </w:rPr>
          </w:pPr>
          <w:hyperlink w:anchor="_Toc37690483" w:history="1">
            <w:r w:rsidR="00097764" w:rsidRPr="00A91F12">
              <w:rPr>
                <w:rStyle w:val="Hyperlink"/>
                <w:rFonts w:ascii="Times New Roman" w:eastAsia="Times New Roman" w:hAnsi="Times New Roman" w:cs="Times New Roman"/>
                <w:noProof/>
                <w:lang w:val="sq-AL" w:eastAsia="sq-AL"/>
              </w:rPr>
              <w:t>8. Release policy</w:t>
            </w:r>
            <w:r w:rsidR="00097764">
              <w:rPr>
                <w:noProof/>
                <w:webHidden/>
              </w:rPr>
              <w:tab/>
            </w:r>
            <w:r w:rsidR="00097764">
              <w:rPr>
                <w:noProof/>
                <w:webHidden/>
              </w:rPr>
              <w:fldChar w:fldCharType="begin"/>
            </w:r>
            <w:r w:rsidR="00097764">
              <w:rPr>
                <w:noProof/>
                <w:webHidden/>
              </w:rPr>
              <w:instrText xml:space="preserve"> PAGEREF _Toc37690483 \h </w:instrText>
            </w:r>
            <w:r w:rsidR="00097764">
              <w:rPr>
                <w:noProof/>
                <w:webHidden/>
              </w:rPr>
            </w:r>
            <w:r w:rsidR="00097764">
              <w:rPr>
                <w:noProof/>
                <w:webHidden/>
              </w:rPr>
              <w:fldChar w:fldCharType="separate"/>
            </w:r>
            <w:r w:rsidR="00097764">
              <w:rPr>
                <w:noProof/>
                <w:webHidden/>
              </w:rPr>
              <w:t>5</w:t>
            </w:r>
            <w:r w:rsidR="00097764">
              <w:rPr>
                <w:noProof/>
                <w:webHidden/>
              </w:rPr>
              <w:fldChar w:fldCharType="end"/>
            </w:r>
          </w:hyperlink>
        </w:p>
        <w:p w14:paraId="1CD0B7F6" w14:textId="3BD5F457" w:rsidR="00097764" w:rsidRDefault="00410953">
          <w:pPr>
            <w:pStyle w:val="TOC1"/>
            <w:tabs>
              <w:tab w:val="right" w:leader="dot" w:pos="10456"/>
            </w:tabs>
            <w:rPr>
              <w:rFonts w:eastAsiaTheme="minorEastAsia"/>
              <w:noProof/>
              <w:lang w:val="en-US"/>
            </w:rPr>
          </w:pPr>
          <w:hyperlink w:anchor="_Toc37690484" w:history="1">
            <w:r w:rsidR="00097764" w:rsidRPr="00A91F12">
              <w:rPr>
                <w:rStyle w:val="Hyperlink"/>
                <w:rFonts w:ascii="Times New Roman" w:eastAsia="Times New Roman" w:hAnsi="Times New Roman" w:cs="Times New Roman"/>
                <w:noProof/>
                <w:lang w:val="sq-AL" w:eastAsia="sq-AL"/>
              </w:rPr>
              <w:t>9. Frequency of dissemination</w:t>
            </w:r>
            <w:r w:rsidR="00097764">
              <w:rPr>
                <w:noProof/>
                <w:webHidden/>
              </w:rPr>
              <w:tab/>
            </w:r>
            <w:r w:rsidR="00097764">
              <w:rPr>
                <w:noProof/>
                <w:webHidden/>
              </w:rPr>
              <w:fldChar w:fldCharType="begin"/>
            </w:r>
            <w:r w:rsidR="00097764">
              <w:rPr>
                <w:noProof/>
                <w:webHidden/>
              </w:rPr>
              <w:instrText xml:space="preserve"> PAGEREF _Toc37690484 \h </w:instrText>
            </w:r>
            <w:r w:rsidR="00097764">
              <w:rPr>
                <w:noProof/>
                <w:webHidden/>
              </w:rPr>
            </w:r>
            <w:r w:rsidR="00097764">
              <w:rPr>
                <w:noProof/>
                <w:webHidden/>
              </w:rPr>
              <w:fldChar w:fldCharType="separate"/>
            </w:r>
            <w:r w:rsidR="00097764">
              <w:rPr>
                <w:noProof/>
                <w:webHidden/>
              </w:rPr>
              <w:t>6</w:t>
            </w:r>
            <w:r w:rsidR="00097764">
              <w:rPr>
                <w:noProof/>
                <w:webHidden/>
              </w:rPr>
              <w:fldChar w:fldCharType="end"/>
            </w:r>
          </w:hyperlink>
        </w:p>
        <w:p w14:paraId="0E2E1DC1" w14:textId="3AD7BC88" w:rsidR="00097764" w:rsidRDefault="00410953">
          <w:pPr>
            <w:pStyle w:val="TOC1"/>
            <w:tabs>
              <w:tab w:val="right" w:leader="dot" w:pos="10456"/>
            </w:tabs>
            <w:rPr>
              <w:rFonts w:eastAsiaTheme="minorEastAsia"/>
              <w:noProof/>
              <w:lang w:val="en-US"/>
            </w:rPr>
          </w:pPr>
          <w:hyperlink w:anchor="_Toc37690485" w:history="1">
            <w:r w:rsidR="00097764" w:rsidRPr="00A91F12">
              <w:rPr>
                <w:rStyle w:val="Hyperlink"/>
                <w:rFonts w:ascii="Times New Roman" w:eastAsia="Times New Roman" w:hAnsi="Times New Roman" w:cs="Times New Roman"/>
                <w:noProof/>
                <w:lang w:val="sq-AL" w:eastAsia="sq-AL"/>
              </w:rPr>
              <w:t>10. Accessibility and clarity</w:t>
            </w:r>
            <w:r w:rsidR="00097764">
              <w:rPr>
                <w:noProof/>
                <w:webHidden/>
              </w:rPr>
              <w:tab/>
            </w:r>
            <w:r w:rsidR="00097764">
              <w:rPr>
                <w:noProof/>
                <w:webHidden/>
              </w:rPr>
              <w:fldChar w:fldCharType="begin"/>
            </w:r>
            <w:r w:rsidR="00097764">
              <w:rPr>
                <w:noProof/>
                <w:webHidden/>
              </w:rPr>
              <w:instrText xml:space="preserve"> PAGEREF _Toc37690485 \h </w:instrText>
            </w:r>
            <w:r w:rsidR="00097764">
              <w:rPr>
                <w:noProof/>
                <w:webHidden/>
              </w:rPr>
            </w:r>
            <w:r w:rsidR="00097764">
              <w:rPr>
                <w:noProof/>
                <w:webHidden/>
              </w:rPr>
              <w:fldChar w:fldCharType="separate"/>
            </w:r>
            <w:r w:rsidR="00097764">
              <w:rPr>
                <w:noProof/>
                <w:webHidden/>
              </w:rPr>
              <w:t>6</w:t>
            </w:r>
            <w:r w:rsidR="00097764">
              <w:rPr>
                <w:noProof/>
                <w:webHidden/>
              </w:rPr>
              <w:fldChar w:fldCharType="end"/>
            </w:r>
          </w:hyperlink>
        </w:p>
        <w:p w14:paraId="1A38303C" w14:textId="5F833E92" w:rsidR="00097764" w:rsidRDefault="00410953">
          <w:pPr>
            <w:pStyle w:val="TOC1"/>
            <w:tabs>
              <w:tab w:val="right" w:leader="dot" w:pos="10456"/>
            </w:tabs>
            <w:rPr>
              <w:rFonts w:eastAsiaTheme="minorEastAsia"/>
              <w:noProof/>
              <w:lang w:val="en-US"/>
            </w:rPr>
          </w:pPr>
          <w:hyperlink w:anchor="_Toc37690486" w:history="1">
            <w:r w:rsidR="00097764" w:rsidRPr="00A91F12">
              <w:rPr>
                <w:rStyle w:val="Hyperlink"/>
                <w:rFonts w:ascii="Times New Roman" w:eastAsia="Times New Roman" w:hAnsi="Times New Roman" w:cs="Times New Roman"/>
                <w:noProof/>
                <w:lang w:val="sq-AL" w:eastAsia="sq-AL"/>
              </w:rPr>
              <w:t>11. Quality managment</w:t>
            </w:r>
            <w:r w:rsidR="00097764">
              <w:rPr>
                <w:noProof/>
                <w:webHidden/>
              </w:rPr>
              <w:tab/>
            </w:r>
            <w:r w:rsidR="00097764">
              <w:rPr>
                <w:noProof/>
                <w:webHidden/>
              </w:rPr>
              <w:fldChar w:fldCharType="begin"/>
            </w:r>
            <w:r w:rsidR="00097764">
              <w:rPr>
                <w:noProof/>
                <w:webHidden/>
              </w:rPr>
              <w:instrText xml:space="preserve"> PAGEREF _Toc37690486 \h </w:instrText>
            </w:r>
            <w:r w:rsidR="00097764">
              <w:rPr>
                <w:noProof/>
                <w:webHidden/>
              </w:rPr>
            </w:r>
            <w:r w:rsidR="00097764">
              <w:rPr>
                <w:noProof/>
                <w:webHidden/>
              </w:rPr>
              <w:fldChar w:fldCharType="separate"/>
            </w:r>
            <w:r w:rsidR="00097764">
              <w:rPr>
                <w:noProof/>
                <w:webHidden/>
              </w:rPr>
              <w:t>6</w:t>
            </w:r>
            <w:r w:rsidR="00097764">
              <w:rPr>
                <w:noProof/>
                <w:webHidden/>
              </w:rPr>
              <w:fldChar w:fldCharType="end"/>
            </w:r>
          </w:hyperlink>
        </w:p>
        <w:p w14:paraId="789F2D55" w14:textId="7663989E" w:rsidR="00097764" w:rsidRDefault="00410953">
          <w:pPr>
            <w:pStyle w:val="TOC1"/>
            <w:tabs>
              <w:tab w:val="right" w:leader="dot" w:pos="10456"/>
            </w:tabs>
            <w:rPr>
              <w:rFonts w:eastAsiaTheme="minorEastAsia"/>
              <w:noProof/>
              <w:lang w:val="en-US"/>
            </w:rPr>
          </w:pPr>
          <w:hyperlink w:anchor="_Toc37690487" w:history="1">
            <w:r w:rsidR="00097764" w:rsidRPr="00A91F12">
              <w:rPr>
                <w:rStyle w:val="Hyperlink"/>
                <w:rFonts w:ascii="Times New Roman" w:eastAsia="Times New Roman" w:hAnsi="Times New Roman" w:cs="Times New Roman"/>
                <w:noProof/>
                <w:lang w:val="sq-AL" w:eastAsia="sq-AL"/>
              </w:rPr>
              <w:t>12. Relevance</w:t>
            </w:r>
            <w:r w:rsidR="00097764">
              <w:rPr>
                <w:noProof/>
                <w:webHidden/>
              </w:rPr>
              <w:tab/>
            </w:r>
            <w:r w:rsidR="00097764">
              <w:rPr>
                <w:noProof/>
                <w:webHidden/>
              </w:rPr>
              <w:fldChar w:fldCharType="begin"/>
            </w:r>
            <w:r w:rsidR="00097764">
              <w:rPr>
                <w:noProof/>
                <w:webHidden/>
              </w:rPr>
              <w:instrText xml:space="preserve"> PAGEREF _Toc37690487 \h </w:instrText>
            </w:r>
            <w:r w:rsidR="00097764">
              <w:rPr>
                <w:noProof/>
                <w:webHidden/>
              </w:rPr>
            </w:r>
            <w:r w:rsidR="00097764">
              <w:rPr>
                <w:noProof/>
                <w:webHidden/>
              </w:rPr>
              <w:fldChar w:fldCharType="separate"/>
            </w:r>
            <w:r w:rsidR="00097764">
              <w:rPr>
                <w:noProof/>
                <w:webHidden/>
              </w:rPr>
              <w:t>7</w:t>
            </w:r>
            <w:r w:rsidR="00097764">
              <w:rPr>
                <w:noProof/>
                <w:webHidden/>
              </w:rPr>
              <w:fldChar w:fldCharType="end"/>
            </w:r>
          </w:hyperlink>
        </w:p>
        <w:p w14:paraId="0D9B1749" w14:textId="02D67F7A" w:rsidR="00097764" w:rsidRDefault="00410953">
          <w:pPr>
            <w:pStyle w:val="TOC1"/>
            <w:tabs>
              <w:tab w:val="right" w:leader="dot" w:pos="10456"/>
            </w:tabs>
            <w:rPr>
              <w:rFonts w:eastAsiaTheme="minorEastAsia"/>
              <w:noProof/>
              <w:lang w:val="en-US"/>
            </w:rPr>
          </w:pPr>
          <w:hyperlink w:anchor="_Toc37690488" w:history="1">
            <w:r w:rsidR="00097764" w:rsidRPr="00A91F12">
              <w:rPr>
                <w:rStyle w:val="Hyperlink"/>
                <w:rFonts w:ascii="Times New Roman" w:eastAsia="Times New Roman" w:hAnsi="Times New Roman" w:cs="Times New Roman"/>
                <w:noProof/>
                <w:lang w:val="sq-AL" w:eastAsia="sq-AL"/>
              </w:rPr>
              <w:t>13. Accuracy and reliability</w:t>
            </w:r>
            <w:r w:rsidR="00097764">
              <w:rPr>
                <w:noProof/>
                <w:webHidden/>
              </w:rPr>
              <w:tab/>
            </w:r>
            <w:r w:rsidR="00097764">
              <w:rPr>
                <w:noProof/>
                <w:webHidden/>
              </w:rPr>
              <w:fldChar w:fldCharType="begin"/>
            </w:r>
            <w:r w:rsidR="00097764">
              <w:rPr>
                <w:noProof/>
                <w:webHidden/>
              </w:rPr>
              <w:instrText xml:space="preserve"> PAGEREF _Toc37690488 \h </w:instrText>
            </w:r>
            <w:r w:rsidR="00097764">
              <w:rPr>
                <w:noProof/>
                <w:webHidden/>
              </w:rPr>
            </w:r>
            <w:r w:rsidR="00097764">
              <w:rPr>
                <w:noProof/>
                <w:webHidden/>
              </w:rPr>
              <w:fldChar w:fldCharType="separate"/>
            </w:r>
            <w:r w:rsidR="00097764">
              <w:rPr>
                <w:noProof/>
                <w:webHidden/>
              </w:rPr>
              <w:t>7</w:t>
            </w:r>
            <w:r w:rsidR="00097764">
              <w:rPr>
                <w:noProof/>
                <w:webHidden/>
              </w:rPr>
              <w:fldChar w:fldCharType="end"/>
            </w:r>
          </w:hyperlink>
        </w:p>
        <w:p w14:paraId="11D8F34F" w14:textId="6E91FE82" w:rsidR="00097764" w:rsidRDefault="00410953">
          <w:pPr>
            <w:pStyle w:val="TOC1"/>
            <w:tabs>
              <w:tab w:val="right" w:leader="dot" w:pos="10456"/>
            </w:tabs>
            <w:rPr>
              <w:rFonts w:eastAsiaTheme="minorEastAsia"/>
              <w:noProof/>
              <w:lang w:val="en-US"/>
            </w:rPr>
          </w:pPr>
          <w:hyperlink w:anchor="_Toc37690489" w:history="1">
            <w:r w:rsidR="00097764" w:rsidRPr="00A91F12">
              <w:rPr>
                <w:rStyle w:val="Hyperlink"/>
                <w:rFonts w:ascii="Times New Roman" w:eastAsia="Times New Roman" w:hAnsi="Times New Roman" w:cs="Times New Roman"/>
                <w:noProof/>
                <w:lang w:val="sq-AL" w:eastAsia="sq-AL"/>
              </w:rPr>
              <w:t>14. Timeliness and punctuality</w:t>
            </w:r>
            <w:r w:rsidR="00097764">
              <w:rPr>
                <w:noProof/>
                <w:webHidden/>
              </w:rPr>
              <w:tab/>
            </w:r>
            <w:r w:rsidR="00097764">
              <w:rPr>
                <w:noProof/>
                <w:webHidden/>
              </w:rPr>
              <w:fldChar w:fldCharType="begin"/>
            </w:r>
            <w:r w:rsidR="00097764">
              <w:rPr>
                <w:noProof/>
                <w:webHidden/>
              </w:rPr>
              <w:instrText xml:space="preserve"> PAGEREF _Toc37690489 \h </w:instrText>
            </w:r>
            <w:r w:rsidR="00097764">
              <w:rPr>
                <w:noProof/>
                <w:webHidden/>
              </w:rPr>
            </w:r>
            <w:r w:rsidR="00097764">
              <w:rPr>
                <w:noProof/>
                <w:webHidden/>
              </w:rPr>
              <w:fldChar w:fldCharType="separate"/>
            </w:r>
            <w:r w:rsidR="00097764">
              <w:rPr>
                <w:noProof/>
                <w:webHidden/>
              </w:rPr>
              <w:t>8</w:t>
            </w:r>
            <w:r w:rsidR="00097764">
              <w:rPr>
                <w:noProof/>
                <w:webHidden/>
              </w:rPr>
              <w:fldChar w:fldCharType="end"/>
            </w:r>
          </w:hyperlink>
        </w:p>
        <w:p w14:paraId="4AFAE27C" w14:textId="0337AFBD" w:rsidR="00097764" w:rsidRDefault="00410953">
          <w:pPr>
            <w:pStyle w:val="TOC1"/>
            <w:tabs>
              <w:tab w:val="right" w:leader="dot" w:pos="10456"/>
            </w:tabs>
            <w:rPr>
              <w:rFonts w:eastAsiaTheme="minorEastAsia"/>
              <w:noProof/>
              <w:lang w:val="en-US"/>
            </w:rPr>
          </w:pPr>
          <w:hyperlink w:anchor="_Toc37690490" w:history="1">
            <w:r w:rsidR="00097764" w:rsidRPr="00A91F12">
              <w:rPr>
                <w:rStyle w:val="Hyperlink"/>
                <w:rFonts w:ascii="Times New Roman" w:eastAsia="Times New Roman" w:hAnsi="Times New Roman" w:cs="Times New Roman"/>
                <w:noProof/>
                <w:lang w:val="sq-AL" w:eastAsia="sq-AL"/>
              </w:rPr>
              <w:t>15. Coherence and comparability</w:t>
            </w:r>
            <w:r w:rsidR="00097764">
              <w:rPr>
                <w:noProof/>
                <w:webHidden/>
              </w:rPr>
              <w:tab/>
            </w:r>
            <w:r w:rsidR="00097764">
              <w:rPr>
                <w:noProof/>
                <w:webHidden/>
              </w:rPr>
              <w:fldChar w:fldCharType="begin"/>
            </w:r>
            <w:r w:rsidR="00097764">
              <w:rPr>
                <w:noProof/>
                <w:webHidden/>
              </w:rPr>
              <w:instrText xml:space="preserve"> PAGEREF _Toc37690490 \h </w:instrText>
            </w:r>
            <w:r w:rsidR="00097764">
              <w:rPr>
                <w:noProof/>
                <w:webHidden/>
              </w:rPr>
            </w:r>
            <w:r w:rsidR="00097764">
              <w:rPr>
                <w:noProof/>
                <w:webHidden/>
              </w:rPr>
              <w:fldChar w:fldCharType="separate"/>
            </w:r>
            <w:r w:rsidR="00097764">
              <w:rPr>
                <w:noProof/>
                <w:webHidden/>
              </w:rPr>
              <w:t>8</w:t>
            </w:r>
            <w:r w:rsidR="00097764">
              <w:rPr>
                <w:noProof/>
                <w:webHidden/>
              </w:rPr>
              <w:fldChar w:fldCharType="end"/>
            </w:r>
          </w:hyperlink>
        </w:p>
        <w:p w14:paraId="15CF7F26" w14:textId="4E10B1E1" w:rsidR="00097764" w:rsidRDefault="00410953">
          <w:pPr>
            <w:pStyle w:val="TOC1"/>
            <w:tabs>
              <w:tab w:val="right" w:leader="dot" w:pos="10456"/>
            </w:tabs>
            <w:rPr>
              <w:rFonts w:eastAsiaTheme="minorEastAsia"/>
              <w:noProof/>
              <w:lang w:val="en-US"/>
            </w:rPr>
          </w:pPr>
          <w:hyperlink w:anchor="_Toc37690491" w:history="1">
            <w:r w:rsidR="00097764" w:rsidRPr="00A91F12">
              <w:rPr>
                <w:rStyle w:val="Hyperlink"/>
                <w:rFonts w:ascii="Times New Roman" w:eastAsia="Times New Roman" w:hAnsi="Times New Roman" w:cs="Times New Roman"/>
                <w:noProof/>
                <w:lang w:val="sq-AL" w:eastAsia="sq-AL"/>
              </w:rPr>
              <w:t>16. Cost and burden</w:t>
            </w:r>
            <w:r w:rsidR="00097764">
              <w:rPr>
                <w:noProof/>
                <w:webHidden/>
              </w:rPr>
              <w:tab/>
            </w:r>
            <w:r w:rsidR="00097764">
              <w:rPr>
                <w:noProof/>
                <w:webHidden/>
              </w:rPr>
              <w:fldChar w:fldCharType="begin"/>
            </w:r>
            <w:r w:rsidR="00097764">
              <w:rPr>
                <w:noProof/>
                <w:webHidden/>
              </w:rPr>
              <w:instrText xml:space="preserve"> PAGEREF _Toc37690491 \h </w:instrText>
            </w:r>
            <w:r w:rsidR="00097764">
              <w:rPr>
                <w:noProof/>
                <w:webHidden/>
              </w:rPr>
            </w:r>
            <w:r w:rsidR="00097764">
              <w:rPr>
                <w:noProof/>
                <w:webHidden/>
              </w:rPr>
              <w:fldChar w:fldCharType="separate"/>
            </w:r>
            <w:r w:rsidR="00097764">
              <w:rPr>
                <w:noProof/>
                <w:webHidden/>
              </w:rPr>
              <w:t>9</w:t>
            </w:r>
            <w:r w:rsidR="00097764">
              <w:rPr>
                <w:noProof/>
                <w:webHidden/>
              </w:rPr>
              <w:fldChar w:fldCharType="end"/>
            </w:r>
          </w:hyperlink>
        </w:p>
        <w:p w14:paraId="544D8EF3" w14:textId="4122EAB8" w:rsidR="00097764" w:rsidRDefault="00410953">
          <w:pPr>
            <w:pStyle w:val="TOC1"/>
            <w:tabs>
              <w:tab w:val="right" w:leader="dot" w:pos="10456"/>
            </w:tabs>
            <w:rPr>
              <w:rFonts w:eastAsiaTheme="minorEastAsia"/>
              <w:noProof/>
              <w:lang w:val="en-US"/>
            </w:rPr>
          </w:pPr>
          <w:hyperlink w:anchor="_Toc37690492" w:history="1">
            <w:r w:rsidR="00097764" w:rsidRPr="00A91F12">
              <w:rPr>
                <w:rStyle w:val="Hyperlink"/>
                <w:rFonts w:ascii="Times New Roman" w:eastAsia="Times New Roman" w:hAnsi="Times New Roman" w:cs="Times New Roman"/>
                <w:noProof/>
                <w:lang w:val="sq-AL" w:eastAsia="sq-AL"/>
              </w:rPr>
              <w:t>17. Data revision</w:t>
            </w:r>
            <w:r w:rsidR="00097764">
              <w:rPr>
                <w:noProof/>
                <w:webHidden/>
              </w:rPr>
              <w:tab/>
            </w:r>
            <w:r w:rsidR="00097764">
              <w:rPr>
                <w:noProof/>
                <w:webHidden/>
              </w:rPr>
              <w:fldChar w:fldCharType="begin"/>
            </w:r>
            <w:r w:rsidR="00097764">
              <w:rPr>
                <w:noProof/>
                <w:webHidden/>
              </w:rPr>
              <w:instrText xml:space="preserve"> PAGEREF _Toc37690492 \h </w:instrText>
            </w:r>
            <w:r w:rsidR="00097764">
              <w:rPr>
                <w:noProof/>
                <w:webHidden/>
              </w:rPr>
            </w:r>
            <w:r w:rsidR="00097764">
              <w:rPr>
                <w:noProof/>
                <w:webHidden/>
              </w:rPr>
              <w:fldChar w:fldCharType="separate"/>
            </w:r>
            <w:r w:rsidR="00097764">
              <w:rPr>
                <w:noProof/>
                <w:webHidden/>
              </w:rPr>
              <w:t>9</w:t>
            </w:r>
            <w:r w:rsidR="00097764">
              <w:rPr>
                <w:noProof/>
                <w:webHidden/>
              </w:rPr>
              <w:fldChar w:fldCharType="end"/>
            </w:r>
          </w:hyperlink>
        </w:p>
        <w:p w14:paraId="3E71D852" w14:textId="58D697E7" w:rsidR="00097764" w:rsidRDefault="00410953">
          <w:pPr>
            <w:pStyle w:val="TOC1"/>
            <w:tabs>
              <w:tab w:val="right" w:leader="dot" w:pos="10456"/>
            </w:tabs>
            <w:rPr>
              <w:rFonts w:eastAsiaTheme="minorEastAsia"/>
              <w:noProof/>
              <w:lang w:val="en-US"/>
            </w:rPr>
          </w:pPr>
          <w:hyperlink w:anchor="_Toc37690493" w:history="1">
            <w:r w:rsidR="00097764" w:rsidRPr="00A91F12">
              <w:rPr>
                <w:rStyle w:val="Hyperlink"/>
                <w:rFonts w:ascii="Times New Roman" w:eastAsia="Times New Roman" w:hAnsi="Times New Roman" w:cs="Times New Roman"/>
                <w:noProof/>
                <w:lang w:val="sq-AL" w:eastAsia="sq-AL"/>
              </w:rPr>
              <w:t>18. Statistical processing</w:t>
            </w:r>
            <w:r w:rsidR="00097764">
              <w:rPr>
                <w:noProof/>
                <w:webHidden/>
              </w:rPr>
              <w:tab/>
            </w:r>
            <w:r w:rsidR="00097764">
              <w:rPr>
                <w:noProof/>
                <w:webHidden/>
              </w:rPr>
              <w:fldChar w:fldCharType="begin"/>
            </w:r>
            <w:r w:rsidR="00097764">
              <w:rPr>
                <w:noProof/>
                <w:webHidden/>
              </w:rPr>
              <w:instrText xml:space="preserve"> PAGEREF _Toc37690493 \h </w:instrText>
            </w:r>
            <w:r w:rsidR="00097764">
              <w:rPr>
                <w:noProof/>
                <w:webHidden/>
              </w:rPr>
            </w:r>
            <w:r w:rsidR="00097764">
              <w:rPr>
                <w:noProof/>
                <w:webHidden/>
              </w:rPr>
              <w:fldChar w:fldCharType="separate"/>
            </w:r>
            <w:r w:rsidR="00097764">
              <w:rPr>
                <w:noProof/>
                <w:webHidden/>
              </w:rPr>
              <w:t>9</w:t>
            </w:r>
            <w:r w:rsidR="00097764">
              <w:rPr>
                <w:noProof/>
                <w:webHidden/>
              </w:rPr>
              <w:fldChar w:fldCharType="end"/>
            </w:r>
          </w:hyperlink>
        </w:p>
        <w:p w14:paraId="308485AD" w14:textId="2BFD7C67" w:rsidR="00097764" w:rsidRDefault="00410953">
          <w:pPr>
            <w:pStyle w:val="TOC1"/>
            <w:tabs>
              <w:tab w:val="right" w:leader="dot" w:pos="10456"/>
            </w:tabs>
            <w:rPr>
              <w:rFonts w:eastAsiaTheme="minorEastAsia"/>
              <w:noProof/>
              <w:lang w:val="en-US"/>
            </w:rPr>
          </w:pPr>
          <w:hyperlink w:anchor="_Toc37690494" w:history="1">
            <w:r w:rsidR="00097764" w:rsidRPr="00A91F12">
              <w:rPr>
                <w:rStyle w:val="Hyperlink"/>
                <w:rFonts w:ascii="Times New Roman" w:eastAsia="Times New Roman" w:hAnsi="Times New Roman" w:cs="Times New Roman"/>
                <w:noProof/>
                <w:lang w:val="sq-AL" w:eastAsia="sq-AL"/>
              </w:rPr>
              <w:t>19. Comment</w:t>
            </w:r>
            <w:r w:rsidR="00097764">
              <w:rPr>
                <w:noProof/>
                <w:webHidden/>
              </w:rPr>
              <w:tab/>
            </w:r>
            <w:r w:rsidR="00097764">
              <w:rPr>
                <w:noProof/>
                <w:webHidden/>
              </w:rPr>
              <w:fldChar w:fldCharType="begin"/>
            </w:r>
            <w:r w:rsidR="00097764">
              <w:rPr>
                <w:noProof/>
                <w:webHidden/>
              </w:rPr>
              <w:instrText xml:space="preserve"> PAGEREF _Toc37690494 \h </w:instrText>
            </w:r>
            <w:r w:rsidR="00097764">
              <w:rPr>
                <w:noProof/>
                <w:webHidden/>
              </w:rPr>
            </w:r>
            <w:r w:rsidR="00097764">
              <w:rPr>
                <w:noProof/>
                <w:webHidden/>
              </w:rPr>
              <w:fldChar w:fldCharType="separate"/>
            </w:r>
            <w:r w:rsidR="00097764">
              <w:rPr>
                <w:noProof/>
                <w:webHidden/>
              </w:rPr>
              <w:t>13</w:t>
            </w:r>
            <w:r w:rsidR="00097764">
              <w:rPr>
                <w:noProof/>
                <w:webHidden/>
              </w:rPr>
              <w:fldChar w:fldCharType="end"/>
            </w:r>
          </w:hyperlink>
        </w:p>
        <w:p w14:paraId="6709070D" w14:textId="4DFD9284" w:rsidR="00097764" w:rsidRDefault="00410953">
          <w:pPr>
            <w:pStyle w:val="TOC1"/>
            <w:tabs>
              <w:tab w:val="right" w:leader="dot" w:pos="10456"/>
            </w:tabs>
            <w:rPr>
              <w:rFonts w:eastAsiaTheme="minorEastAsia"/>
              <w:noProof/>
              <w:lang w:val="en-US"/>
            </w:rPr>
          </w:pPr>
          <w:hyperlink w:anchor="_Toc37690495" w:history="1">
            <w:r w:rsidR="00097764" w:rsidRPr="00A91F12">
              <w:rPr>
                <w:rStyle w:val="Hyperlink"/>
                <w:rFonts w:ascii="Times New Roman" w:eastAsia="Times New Roman" w:hAnsi="Times New Roman" w:cs="Times New Roman"/>
                <w:noProof/>
                <w:lang w:val="sq-AL" w:eastAsia="sq-AL"/>
              </w:rPr>
              <w:t>Annex</w:t>
            </w:r>
            <w:r w:rsidR="00097764">
              <w:rPr>
                <w:noProof/>
                <w:webHidden/>
              </w:rPr>
              <w:tab/>
            </w:r>
            <w:r w:rsidR="00097764">
              <w:rPr>
                <w:noProof/>
                <w:webHidden/>
              </w:rPr>
              <w:fldChar w:fldCharType="begin"/>
            </w:r>
            <w:r w:rsidR="00097764">
              <w:rPr>
                <w:noProof/>
                <w:webHidden/>
              </w:rPr>
              <w:instrText xml:space="preserve"> PAGEREF _Toc37690495 \h </w:instrText>
            </w:r>
            <w:r w:rsidR="00097764">
              <w:rPr>
                <w:noProof/>
                <w:webHidden/>
              </w:rPr>
            </w:r>
            <w:r w:rsidR="00097764">
              <w:rPr>
                <w:noProof/>
                <w:webHidden/>
              </w:rPr>
              <w:fldChar w:fldCharType="separate"/>
            </w:r>
            <w:r w:rsidR="00097764">
              <w:rPr>
                <w:noProof/>
                <w:webHidden/>
              </w:rPr>
              <w:t>13</w:t>
            </w:r>
            <w:r w:rsidR="00097764">
              <w:rPr>
                <w:noProof/>
                <w:webHidden/>
              </w:rPr>
              <w:fldChar w:fldCharType="end"/>
            </w:r>
          </w:hyperlink>
        </w:p>
        <w:p w14:paraId="6C4FA8B4" w14:textId="60606951" w:rsidR="00C41DD5" w:rsidRPr="008C684F" w:rsidRDefault="00C41DD5" w:rsidP="00C41DD5">
          <w:pPr>
            <w:rPr>
              <w:rFonts w:ascii="Times New Roman" w:hAnsi="Times New Roman" w:cs="Times New Roman"/>
            </w:rPr>
          </w:pPr>
          <w:r w:rsidRPr="008C684F">
            <w:rPr>
              <w:rFonts w:ascii="Times New Roman" w:hAnsi="Times New Roman" w:cs="Times New Roman"/>
              <w:sz w:val="24"/>
              <w:szCs w:val="24"/>
            </w:rPr>
            <w:fldChar w:fldCharType="end"/>
          </w:r>
        </w:p>
      </w:sdtContent>
    </w:sdt>
    <w:p w14:paraId="4707E412" w14:textId="77777777" w:rsidR="00C41DD5" w:rsidRPr="008C684F" w:rsidRDefault="00C41DD5" w:rsidP="00C41DD5">
      <w:pPr>
        <w:rPr>
          <w:rFonts w:ascii="Times New Roman" w:hAnsi="Times New Roman" w:cs="Times New Roman"/>
        </w:rPr>
      </w:pPr>
    </w:p>
    <w:p w14:paraId="14C568EC" w14:textId="77777777" w:rsidR="00C41DD5" w:rsidRPr="008C684F" w:rsidRDefault="00C41DD5" w:rsidP="00C41DD5">
      <w:pPr>
        <w:rPr>
          <w:rFonts w:ascii="Times New Roman" w:hAnsi="Times New Roman" w:cs="Times New Roman"/>
        </w:rPr>
      </w:pPr>
    </w:p>
    <w:tbl>
      <w:tblPr>
        <w:tblW w:w="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8071"/>
      </w:tblGrid>
      <w:tr w:rsidR="00C41DD5" w:rsidRPr="008C684F" w14:paraId="65429CAF" w14:textId="77777777" w:rsidTr="003B0BBB">
        <w:trPr>
          <w:trHeight w:val="567"/>
        </w:trPr>
        <w:tc>
          <w:tcPr>
            <w:tcW w:w="10391" w:type="dxa"/>
            <w:gridSpan w:val="2"/>
            <w:shd w:val="clear" w:color="auto" w:fill="FBD4B4" w:themeFill="accent6" w:themeFillTint="66"/>
            <w:noWrap/>
            <w:vAlign w:val="center"/>
            <w:hideMark/>
          </w:tcPr>
          <w:p w14:paraId="45AEFD92" w14:textId="77777777" w:rsidR="00C41DD5" w:rsidRPr="008C684F" w:rsidRDefault="00C41DD5" w:rsidP="00911357">
            <w:pPr>
              <w:pStyle w:val="Heading1"/>
              <w:spacing w:before="0"/>
              <w:rPr>
                <w:rFonts w:ascii="Times New Roman" w:eastAsia="Times New Roman" w:hAnsi="Times New Roman" w:cs="Times New Roman"/>
                <w:noProof/>
                <w:color w:val="000000"/>
                <w:sz w:val="24"/>
                <w:szCs w:val="24"/>
                <w:lang w:val="sq-AL" w:eastAsia="sq-AL"/>
              </w:rPr>
            </w:pPr>
            <w:bookmarkStart w:id="0" w:name="_Toc37690476"/>
            <w:r w:rsidRPr="008C684F">
              <w:rPr>
                <w:rFonts w:ascii="Times New Roman" w:eastAsia="Times New Roman" w:hAnsi="Times New Roman" w:cs="Times New Roman"/>
                <w:noProof/>
                <w:color w:val="000000"/>
                <w:sz w:val="24"/>
                <w:szCs w:val="24"/>
                <w:lang w:val="sq-AL" w:eastAsia="sq-AL"/>
              </w:rPr>
              <w:lastRenderedPageBreak/>
              <w:t>1. Contact</w:t>
            </w:r>
            <w:bookmarkEnd w:id="0"/>
          </w:p>
        </w:tc>
      </w:tr>
      <w:tr w:rsidR="00C41DD5" w:rsidRPr="008C684F" w14:paraId="42572387" w14:textId="77777777" w:rsidTr="003B0BBB">
        <w:trPr>
          <w:trHeight w:val="567"/>
        </w:trPr>
        <w:tc>
          <w:tcPr>
            <w:tcW w:w="2320" w:type="dxa"/>
            <w:shd w:val="clear" w:color="auto" w:fill="FFFFCC"/>
            <w:vAlign w:val="center"/>
            <w:hideMark/>
          </w:tcPr>
          <w:p w14:paraId="4781CCD3" w14:textId="77777777" w:rsidR="00C41DD5" w:rsidRPr="008C684F" w:rsidRDefault="00C41DD5" w:rsidP="00911357">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vAlign w:val="center"/>
          </w:tcPr>
          <w:p w14:paraId="599BA007" w14:textId="77777777" w:rsidR="00C41DD5" w:rsidRPr="008C684F" w:rsidRDefault="00CD3D9E" w:rsidP="00C97B7B">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szCs w:val="24"/>
              </w:rPr>
              <w:t>INSTAT, Institute of Statistics</w:t>
            </w:r>
          </w:p>
        </w:tc>
      </w:tr>
      <w:tr w:rsidR="00844BD2" w:rsidRPr="008C684F" w14:paraId="7C98CA63" w14:textId="77777777" w:rsidTr="003B0BBB">
        <w:trPr>
          <w:trHeight w:val="567"/>
        </w:trPr>
        <w:tc>
          <w:tcPr>
            <w:tcW w:w="2320" w:type="dxa"/>
            <w:shd w:val="clear" w:color="auto" w:fill="FFFFCC"/>
            <w:vAlign w:val="center"/>
            <w:hideMark/>
          </w:tcPr>
          <w:p w14:paraId="23FADCF8"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 Contact organisation unit</w:t>
            </w:r>
          </w:p>
        </w:tc>
        <w:tc>
          <w:tcPr>
            <w:tcW w:w="8071" w:type="dxa"/>
            <w:shd w:val="clear" w:color="auto" w:fill="auto"/>
            <w:noWrap/>
          </w:tcPr>
          <w:p w14:paraId="69FBD149" w14:textId="5AF0446B"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 xml:space="preserve">Price </w:t>
            </w:r>
            <w:r w:rsidR="007F1125">
              <w:rPr>
                <w:rFonts w:ascii="Times New Roman" w:hAnsi="Times New Roman" w:cs="Times New Roman"/>
                <w:sz w:val="24"/>
              </w:rPr>
              <w:t>Sector</w:t>
            </w:r>
          </w:p>
        </w:tc>
      </w:tr>
      <w:tr w:rsidR="00844BD2" w:rsidRPr="008C684F" w14:paraId="4AF443E6" w14:textId="77777777" w:rsidTr="003B0BBB">
        <w:trPr>
          <w:trHeight w:val="567"/>
        </w:trPr>
        <w:tc>
          <w:tcPr>
            <w:tcW w:w="2320" w:type="dxa"/>
            <w:shd w:val="clear" w:color="auto" w:fill="FFFFCC"/>
            <w:vAlign w:val="center"/>
            <w:hideMark/>
          </w:tcPr>
          <w:p w14:paraId="0C993540"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tcPr>
          <w:p w14:paraId="6C9C8056" w14:textId="7ADDFF1D"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Hazbie Bunguri</w:t>
            </w:r>
          </w:p>
        </w:tc>
      </w:tr>
      <w:tr w:rsidR="00844BD2" w:rsidRPr="008C684F" w14:paraId="79A72B3D" w14:textId="77777777" w:rsidTr="003B0BBB">
        <w:trPr>
          <w:trHeight w:val="567"/>
        </w:trPr>
        <w:tc>
          <w:tcPr>
            <w:tcW w:w="2320" w:type="dxa"/>
            <w:shd w:val="clear" w:color="auto" w:fill="FFFFCC"/>
            <w:vAlign w:val="center"/>
            <w:hideMark/>
          </w:tcPr>
          <w:p w14:paraId="17DDB4AF"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tcPr>
          <w:p w14:paraId="2F696728" w14:textId="580429DC"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 xml:space="preserve">Head of Price </w:t>
            </w:r>
            <w:r w:rsidR="007F1125">
              <w:rPr>
                <w:rFonts w:ascii="Times New Roman" w:hAnsi="Times New Roman" w:cs="Times New Roman"/>
                <w:sz w:val="24"/>
              </w:rPr>
              <w:t>Sector</w:t>
            </w:r>
          </w:p>
        </w:tc>
      </w:tr>
      <w:tr w:rsidR="00844BD2" w:rsidRPr="008C684F" w14:paraId="3863E32A" w14:textId="77777777" w:rsidTr="003B0BBB">
        <w:trPr>
          <w:trHeight w:val="567"/>
        </w:trPr>
        <w:tc>
          <w:tcPr>
            <w:tcW w:w="2320" w:type="dxa"/>
            <w:shd w:val="clear" w:color="auto" w:fill="FFFFCC"/>
            <w:vAlign w:val="center"/>
            <w:hideMark/>
          </w:tcPr>
          <w:p w14:paraId="1D32CED4"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tcPr>
          <w:p w14:paraId="413564AC" w14:textId="07EC52EB"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 xml:space="preserve">St. Vllazën </w:t>
            </w:r>
            <w:proofErr w:type="spellStart"/>
            <w:r w:rsidRPr="008C684F">
              <w:rPr>
                <w:rFonts w:ascii="Times New Roman" w:hAnsi="Times New Roman" w:cs="Times New Roman"/>
                <w:sz w:val="24"/>
              </w:rPr>
              <w:t>Huta</w:t>
            </w:r>
            <w:proofErr w:type="spellEnd"/>
            <w:r w:rsidRPr="008C684F">
              <w:rPr>
                <w:rFonts w:ascii="Times New Roman" w:hAnsi="Times New Roman" w:cs="Times New Roman"/>
                <w:sz w:val="24"/>
              </w:rPr>
              <w:t>,</w:t>
            </w:r>
            <w:r w:rsidR="00A8000D">
              <w:rPr>
                <w:rFonts w:ascii="Times New Roman" w:hAnsi="Times New Roman" w:cs="Times New Roman"/>
                <w:sz w:val="24"/>
              </w:rPr>
              <w:t xml:space="preserve"> </w:t>
            </w:r>
            <w:r w:rsidRPr="008C684F">
              <w:rPr>
                <w:rFonts w:ascii="Times New Roman" w:hAnsi="Times New Roman" w:cs="Times New Roman"/>
                <w:sz w:val="24"/>
              </w:rPr>
              <w:t xml:space="preserve">Building 35, Entrance 1, Tirana, ZIP Code 1017 </w:t>
            </w:r>
            <w:proofErr w:type="spellStart"/>
            <w:r w:rsidRPr="008C684F">
              <w:rPr>
                <w:rFonts w:ascii="Times New Roman" w:hAnsi="Times New Roman" w:cs="Times New Roman"/>
                <w:sz w:val="24"/>
              </w:rPr>
              <w:t>Tirane</w:t>
            </w:r>
            <w:proofErr w:type="spellEnd"/>
          </w:p>
        </w:tc>
      </w:tr>
      <w:tr w:rsidR="00844BD2" w:rsidRPr="008C684F" w14:paraId="58271AC9" w14:textId="77777777" w:rsidTr="003B0BBB">
        <w:trPr>
          <w:trHeight w:val="567"/>
        </w:trPr>
        <w:tc>
          <w:tcPr>
            <w:tcW w:w="2320" w:type="dxa"/>
            <w:shd w:val="clear" w:color="auto" w:fill="FFFFCC"/>
            <w:vAlign w:val="center"/>
            <w:hideMark/>
          </w:tcPr>
          <w:p w14:paraId="6B0EA370"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tcPr>
          <w:p w14:paraId="2BA0F015" w14:textId="17B3A2B6" w:rsidR="004F7E95" w:rsidRPr="004F7E95" w:rsidRDefault="00410953" w:rsidP="004F7E95">
            <w:pPr>
              <w:pStyle w:val="TableParagraph"/>
              <w:spacing w:before="240" w:after="240"/>
              <w:ind w:left="101" w:right="86"/>
              <w:jc w:val="both"/>
              <w:rPr>
                <w:sz w:val="24"/>
                <w:szCs w:val="24"/>
              </w:rPr>
            </w:pPr>
            <w:hyperlink r:id="rId9">
              <w:r w:rsidR="00844BD2" w:rsidRPr="004F7E95">
                <w:rPr>
                  <w:rStyle w:val="Hyperlink"/>
                  <w:sz w:val="24"/>
                  <w:szCs w:val="24"/>
                  <w:shd w:val="clear" w:color="auto" w:fill="FFFFFF"/>
                </w:rPr>
                <w:t>hbunguri@instat.gov.al</w:t>
              </w:r>
            </w:hyperlink>
          </w:p>
        </w:tc>
      </w:tr>
      <w:tr w:rsidR="00844BD2" w:rsidRPr="008C684F" w14:paraId="5DA8710E" w14:textId="77777777" w:rsidTr="003B0BBB">
        <w:trPr>
          <w:trHeight w:val="567"/>
        </w:trPr>
        <w:tc>
          <w:tcPr>
            <w:tcW w:w="2320" w:type="dxa"/>
            <w:shd w:val="clear" w:color="auto" w:fill="FFFFCC"/>
            <w:vAlign w:val="center"/>
            <w:hideMark/>
          </w:tcPr>
          <w:p w14:paraId="6F3B83F5"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tcPr>
          <w:p w14:paraId="59424045" w14:textId="77777777" w:rsidR="00844BD2" w:rsidRPr="008C684F" w:rsidRDefault="00844BD2" w:rsidP="00844BD2">
            <w:pPr>
              <w:pStyle w:val="TableParagraph"/>
              <w:spacing w:before="240" w:after="240"/>
              <w:ind w:left="101" w:right="86"/>
              <w:jc w:val="both"/>
              <w:rPr>
                <w:sz w:val="24"/>
                <w:szCs w:val="24"/>
              </w:rPr>
            </w:pPr>
            <w:r w:rsidRPr="008C684F">
              <w:rPr>
                <w:sz w:val="24"/>
                <w:szCs w:val="24"/>
              </w:rPr>
              <w:t>+(355) 4 2222411 / +(355) 4 2233356</w:t>
            </w:r>
          </w:p>
        </w:tc>
      </w:tr>
      <w:tr w:rsidR="00844BD2" w:rsidRPr="008C684F" w14:paraId="387D508A" w14:textId="77777777" w:rsidTr="003B0BBB">
        <w:trPr>
          <w:trHeight w:val="567"/>
        </w:trPr>
        <w:tc>
          <w:tcPr>
            <w:tcW w:w="2320" w:type="dxa"/>
            <w:shd w:val="clear" w:color="auto" w:fill="FFFFCC"/>
            <w:vAlign w:val="center"/>
            <w:hideMark/>
          </w:tcPr>
          <w:p w14:paraId="220605B2"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tcPr>
          <w:p w14:paraId="5C154ECF" w14:textId="77777777" w:rsidR="00844BD2" w:rsidRPr="008C684F" w:rsidRDefault="00844BD2" w:rsidP="00844BD2">
            <w:pPr>
              <w:pStyle w:val="TableParagraph"/>
              <w:spacing w:before="240" w:after="240"/>
              <w:ind w:left="101" w:right="86"/>
              <w:jc w:val="both"/>
              <w:rPr>
                <w:sz w:val="24"/>
                <w:szCs w:val="24"/>
              </w:rPr>
            </w:pPr>
            <w:r w:rsidRPr="008C684F">
              <w:rPr>
                <w:sz w:val="24"/>
                <w:szCs w:val="24"/>
              </w:rPr>
              <w:t>+(355) 4 228300</w:t>
            </w:r>
          </w:p>
        </w:tc>
      </w:tr>
      <w:tr w:rsidR="00844BD2" w:rsidRPr="008C684F" w14:paraId="7BB36198" w14:textId="77777777" w:rsidTr="003B0BBB">
        <w:trPr>
          <w:trHeight w:val="567"/>
        </w:trPr>
        <w:tc>
          <w:tcPr>
            <w:tcW w:w="10391" w:type="dxa"/>
            <w:gridSpan w:val="2"/>
            <w:shd w:val="clear" w:color="auto" w:fill="FBD4B4" w:themeFill="accent6" w:themeFillTint="66"/>
            <w:noWrap/>
            <w:vAlign w:val="center"/>
            <w:hideMark/>
          </w:tcPr>
          <w:p w14:paraId="3A8782D8" w14:textId="225C0091" w:rsidR="00844BD2" w:rsidRPr="008C684F" w:rsidRDefault="00844BD2" w:rsidP="00844BD2">
            <w:pPr>
              <w:pStyle w:val="Heading1"/>
              <w:spacing w:before="0"/>
              <w:rPr>
                <w:rFonts w:ascii="Times New Roman" w:hAnsi="Times New Roman" w:cs="Times New Roman"/>
                <w:noProof/>
                <w:sz w:val="24"/>
                <w:szCs w:val="24"/>
                <w:lang w:val="sq-AL"/>
              </w:rPr>
            </w:pPr>
            <w:bookmarkStart w:id="1" w:name="_Toc37690477"/>
            <w:r w:rsidRPr="008C684F">
              <w:rPr>
                <w:rFonts w:ascii="Times New Roman" w:eastAsia="Times New Roman" w:hAnsi="Times New Roman" w:cs="Times New Roman"/>
                <w:noProof/>
                <w:color w:val="000000"/>
                <w:sz w:val="24"/>
                <w:szCs w:val="24"/>
                <w:lang w:val="sq-AL" w:eastAsia="sq-AL"/>
              </w:rPr>
              <w:t>2. Metadata update</w:t>
            </w:r>
            <w:bookmarkEnd w:id="1"/>
          </w:p>
        </w:tc>
      </w:tr>
      <w:tr w:rsidR="00844BD2" w:rsidRPr="008C684F" w14:paraId="7DA231CB" w14:textId="77777777" w:rsidTr="003B0BBB">
        <w:trPr>
          <w:trHeight w:val="567"/>
        </w:trPr>
        <w:tc>
          <w:tcPr>
            <w:tcW w:w="2320" w:type="dxa"/>
            <w:shd w:val="clear" w:color="auto" w:fill="FFFFCC"/>
            <w:noWrap/>
            <w:vAlign w:val="center"/>
            <w:hideMark/>
          </w:tcPr>
          <w:p w14:paraId="2BB40F36"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tcPr>
          <w:p w14:paraId="35B8625C" w14:textId="72572398" w:rsidR="00844BD2" w:rsidRPr="00572B56" w:rsidRDefault="00FA1E73" w:rsidP="00572B56">
            <w:pPr>
              <w:spacing w:before="240" w:after="240" w:line="240" w:lineRule="auto"/>
              <w:ind w:left="101" w:right="86"/>
              <w:jc w:val="both"/>
              <w:rPr>
                <w:rFonts w:ascii="Times New Roman" w:hAnsi="Times New Roman" w:cs="Times New Roman"/>
                <w:noProof/>
                <w:sz w:val="24"/>
                <w:szCs w:val="24"/>
                <w:lang w:val="sq-AL"/>
              </w:rPr>
            </w:pPr>
            <w:r w:rsidRPr="00572B56">
              <w:rPr>
                <w:rFonts w:ascii="Times New Roman" w:hAnsi="Times New Roman" w:cs="Times New Roman"/>
                <w:noProof/>
                <w:sz w:val="24"/>
                <w:szCs w:val="24"/>
                <w:lang w:val="sq-AL"/>
              </w:rPr>
              <w:t>1</w:t>
            </w:r>
            <w:r w:rsidR="00572B56" w:rsidRPr="00572B56">
              <w:rPr>
                <w:rFonts w:ascii="Times New Roman" w:hAnsi="Times New Roman" w:cs="Times New Roman"/>
                <w:noProof/>
                <w:sz w:val="24"/>
                <w:szCs w:val="24"/>
                <w:lang w:val="sq-AL"/>
              </w:rPr>
              <w:t>2</w:t>
            </w:r>
            <w:r w:rsidR="00451C4E" w:rsidRPr="00572B56">
              <w:rPr>
                <w:rFonts w:ascii="Times New Roman" w:hAnsi="Times New Roman" w:cs="Times New Roman"/>
                <w:noProof/>
                <w:sz w:val="24"/>
                <w:szCs w:val="24"/>
                <w:lang w:val="sq-AL"/>
              </w:rPr>
              <w:t>.0</w:t>
            </w:r>
            <w:r w:rsidRPr="00572B56">
              <w:rPr>
                <w:rFonts w:ascii="Times New Roman" w:hAnsi="Times New Roman" w:cs="Times New Roman"/>
                <w:noProof/>
                <w:sz w:val="24"/>
                <w:szCs w:val="24"/>
                <w:lang w:val="sq-AL"/>
              </w:rPr>
              <w:t>1</w:t>
            </w:r>
            <w:r w:rsidR="00451C4E" w:rsidRPr="00572B56">
              <w:rPr>
                <w:rFonts w:ascii="Times New Roman" w:hAnsi="Times New Roman" w:cs="Times New Roman"/>
                <w:noProof/>
                <w:sz w:val="24"/>
                <w:szCs w:val="24"/>
                <w:lang w:val="sq-AL"/>
              </w:rPr>
              <w:t>.202</w:t>
            </w:r>
            <w:r w:rsidR="00572B56" w:rsidRPr="00572B56">
              <w:rPr>
                <w:rFonts w:ascii="Times New Roman" w:hAnsi="Times New Roman" w:cs="Times New Roman"/>
                <w:noProof/>
                <w:sz w:val="24"/>
                <w:szCs w:val="24"/>
                <w:lang w:val="sq-AL"/>
              </w:rPr>
              <w:t>1</w:t>
            </w:r>
          </w:p>
        </w:tc>
      </w:tr>
      <w:tr w:rsidR="00844BD2" w:rsidRPr="008C684F" w14:paraId="33D4B6C2" w14:textId="77777777" w:rsidTr="003B0BBB">
        <w:trPr>
          <w:trHeight w:val="567"/>
        </w:trPr>
        <w:tc>
          <w:tcPr>
            <w:tcW w:w="2320" w:type="dxa"/>
            <w:shd w:val="clear" w:color="auto" w:fill="FFFFCC"/>
            <w:noWrap/>
            <w:vAlign w:val="center"/>
            <w:hideMark/>
          </w:tcPr>
          <w:p w14:paraId="525D38C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tcPr>
          <w:p w14:paraId="5D58D448" w14:textId="1F8A8ED6" w:rsidR="00844BD2" w:rsidRPr="00572B56" w:rsidRDefault="00572B56" w:rsidP="00572B56">
            <w:pPr>
              <w:spacing w:before="240" w:after="240" w:line="240" w:lineRule="auto"/>
              <w:ind w:left="101" w:right="86"/>
              <w:jc w:val="both"/>
              <w:rPr>
                <w:rFonts w:ascii="Times New Roman" w:hAnsi="Times New Roman" w:cs="Times New Roman"/>
                <w:noProof/>
                <w:sz w:val="24"/>
                <w:szCs w:val="24"/>
                <w:lang w:val="sq-AL"/>
              </w:rPr>
            </w:pPr>
            <w:r w:rsidRPr="00572B56">
              <w:rPr>
                <w:rFonts w:ascii="Times New Roman" w:hAnsi="Times New Roman" w:cs="Times New Roman"/>
                <w:noProof/>
                <w:sz w:val="24"/>
                <w:szCs w:val="24"/>
                <w:lang w:val="sq-AL"/>
              </w:rPr>
              <w:t>10</w:t>
            </w:r>
            <w:r w:rsidR="00451C4E" w:rsidRPr="00572B56">
              <w:rPr>
                <w:rFonts w:ascii="Times New Roman" w:hAnsi="Times New Roman" w:cs="Times New Roman"/>
                <w:noProof/>
                <w:sz w:val="24"/>
                <w:szCs w:val="24"/>
                <w:lang w:val="sq-AL"/>
              </w:rPr>
              <w:t>.0</w:t>
            </w:r>
            <w:r w:rsidRPr="00572B56">
              <w:rPr>
                <w:rFonts w:ascii="Times New Roman" w:hAnsi="Times New Roman" w:cs="Times New Roman"/>
                <w:noProof/>
                <w:sz w:val="24"/>
                <w:szCs w:val="24"/>
                <w:lang w:val="sq-AL"/>
              </w:rPr>
              <w:t>1</w:t>
            </w:r>
            <w:r w:rsidR="00451C4E" w:rsidRPr="00572B56">
              <w:rPr>
                <w:rFonts w:ascii="Times New Roman" w:hAnsi="Times New Roman" w:cs="Times New Roman"/>
                <w:noProof/>
                <w:sz w:val="24"/>
                <w:szCs w:val="24"/>
                <w:lang w:val="sq-AL"/>
              </w:rPr>
              <w:t>.20</w:t>
            </w:r>
            <w:r w:rsidRPr="00572B56">
              <w:rPr>
                <w:rFonts w:ascii="Times New Roman" w:hAnsi="Times New Roman" w:cs="Times New Roman"/>
                <w:noProof/>
                <w:sz w:val="24"/>
                <w:szCs w:val="24"/>
                <w:lang w:val="sq-AL"/>
              </w:rPr>
              <w:t>20</w:t>
            </w:r>
          </w:p>
        </w:tc>
      </w:tr>
      <w:tr w:rsidR="00844BD2" w:rsidRPr="008C684F" w14:paraId="717A7386" w14:textId="77777777" w:rsidTr="003B0BBB">
        <w:trPr>
          <w:trHeight w:val="567"/>
        </w:trPr>
        <w:tc>
          <w:tcPr>
            <w:tcW w:w="2320" w:type="dxa"/>
            <w:shd w:val="clear" w:color="auto" w:fill="FFFFCC"/>
            <w:noWrap/>
            <w:vAlign w:val="center"/>
            <w:hideMark/>
          </w:tcPr>
          <w:p w14:paraId="0273F9D6"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tcPr>
          <w:p w14:paraId="3644338D" w14:textId="2FB9AA63" w:rsidR="00844BD2" w:rsidRPr="00572B56" w:rsidRDefault="00572B56" w:rsidP="00572B56">
            <w:pPr>
              <w:spacing w:before="240" w:after="240" w:line="240" w:lineRule="auto"/>
              <w:ind w:left="101" w:right="86"/>
              <w:jc w:val="both"/>
              <w:rPr>
                <w:rFonts w:ascii="Times New Roman" w:hAnsi="Times New Roman" w:cs="Times New Roman"/>
                <w:noProof/>
                <w:sz w:val="24"/>
                <w:szCs w:val="24"/>
                <w:lang w:val="sq-AL"/>
              </w:rPr>
            </w:pPr>
            <w:r w:rsidRPr="00572B56">
              <w:rPr>
                <w:rFonts w:ascii="Times New Roman" w:hAnsi="Times New Roman" w:cs="Times New Roman"/>
                <w:noProof/>
                <w:sz w:val="24"/>
                <w:szCs w:val="24"/>
                <w:lang w:val="sq-AL"/>
              </w:rPr>
              <w:t>12</w:t>
            </w:r>
            <w:r w:rsidR="00451C4E" w:rsidRPr="00572B56">
              <w:rPr>
                <w:rFonts w:ascii="Times New Roman" w:hAnsi="Times New Roman" w:cs="Times New Roman"/>
                <w:noProof/>
                <w:sz w:val="24"/>
                <w:szCs w:val="24"/>
                <w:lang w:val="sq-AL"/>
              </w:rPr>
              <w:t>.0</w:t>
            </w:r>
            <w:r w:rsidR="00FA1E73" w:rsidRPr="00572B56">
              <w:rPr>
                <w:rFonts w:ascii="Times New Roman" w:hAnsi="Times New Roman" w:cs="Times New Roman"/>
                <w:noProof/>
                <w:sz w:val="24"/>
                <w:szCs w:val="24"/>
                <w:lang w:val="sq-AL"/>
              </w:rPr>
              <w:t>1</w:t>
            </w:r>
            <w:r w:rsidR="00451C4E" w:rsidRPr="00572B56">
              <w:rPr>
                <w:rFonts w:ascii="Times New Roman" w:hAnsi="Times New Roman" w:cs="Times New Roman"/>
                <w:noProof/>
                <w:sz w:val="24"/>
                <w:szCs w:val="24"/>
                <w:lang w:val="sq-AL"/>
              </w:rPr>
              <w:t>.202</w:t>
            </w:r>
            <w:r w:rsidRPr="00572B56">
              <w:rPr>
                <w:rFonts w:ascii="Times New Roman" w:hAnsi="Times New Roman" w:cs="Times New Roman"/>
                <w:noProof/>
                <w:sz w:val="24"/>
                <w:szCs w:val="24"/>
                <w:lang w:val="sq-AL"/>
              </w:rPr>
              <w:t>1</w:t>
            </w:r>
          </w:p>
        </w:tc>
      </w:tr>
      <w:tr w:rsidR="00844BD2" w:rsidRPr="008C684F" w14:paraId="2D10B505" w14:textId="77777777" w:rsidTr="003B0BBB">
        <w:trPr>
          <w:trHeight w:val="755"/>
        </w:trPr>
        <w:tc>
          <w:tcPr>
            <w:tcW w:w="10391" w:type="dxa"/>
            <w:gridSpan w:val="2"/>
            <w:shd w:val="clear" w:color="auto" w:fill="FBD4B4" w:themeFill="accent6" w:themeFillTint="66"/>
            <w:noWrap/>
            <w:vAlign w:val="center"/>
            <w:hideMark/>
          </w:tcPr>
          <w:p w14:paraId="01AEE195" w14:textId="457176C5"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37690478"/>
            <w:r w:rsidRPr="008C684F">
              <w:rPr>
                <w:rFonts w:ascii="Times New Roman" w:eastAsia="Times New Roman" w:hAnsi="Times New Roman" w:cs="Times New Roman"/>
                <w:noProof/>
                <w:color w:val="000000"/>
                <w:sz w:val="24"/>
                <w:szCs w:val="24"/>
                <w:lang w:val="sq-AL" w:eastAsia="sq-AL"/>
              </w:rPr>
              <w:t>3. Statistical presentation</w:t>
            </w:r>
            <w:bookmarkEnd w:id="2"/>
          </w:p>
        </w:tc>
      </w:tr>
      <w:tr w:rsidR="00844BD2" w:rsidRPr="008C684F" w14:paraId="764C78BF" w14:textId="77777777" w:rsidTr="003B0BBB">
        <w:trPr>
          <w:trHeight w:val="562"/>
        </w:trPr>
        <w:tc>
          <w:tcPr>
            <w:tcW w:w="2320" w:type="dxa"/>
            <w:shd w:val="clear" w:color="auto" w:fill="FFFFCC"/>
            <w:noWrap/>
            <w:vAlign w:val="center"/>
            <w:hideMark/>
          </w:tcPr>
          <w:p w14:paraId="74FD5AE1"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14:paraId="36946752" w14:textId="21BC8E6B" w:rsidR="00844BD2" w:rsidRPr="008C684F" w:rsidRDefault="00844BD2" w:rsidP="008C684F">
            <w:pPr>
              <w:pStyle w:val="TableParagraph"/>
              <w:spacing w:before="240" w:after="240"/>
              <w:ind w:left="101" w:right="86"/>
              <w:jc w:val="both"/>
              <w:rPr>
                <w:sz w:val="24"/>
              </w:rPr>
            </w:pPr>
            <w:r w:rsidRPr="008C684F">
              <w:rPr>
                <w:sz w:val="24"/>
              </w:rPr>
              <w:t xml:space="preserve">Consumer Price Index (CPI) is defined as the measure of the average change of prices of a fixed basket of goods and services, which is purchased by households and which aims to satisfy the households' needs. This index is the official index to measure inflation in Albania. </w:t>
            </w:r>
            <w:r w:rsidR="00C041F6" w:rsidRPr="008C684F">
              <w:rPr>
                <w:sz w:val="24"/>
              </w:rPr>
              <w:t>Harmonized</w:t>
            </w:r>
            <w:r w:rsidRPr="008C684F">
              <w:rPr>
                <w:sz w:val="24"/>
              </w:rPr>
              <w:t xml:space="preserve"> Index of Consumer Prices (HICP) comprises all products and services purchased in monetary transactions by households within the territory of a country; those by both resident and non-resident households. HICPs cover the prices paid for goods and services in monetary transactions. HICP is the bases for comparative measurement of inflation in European countries and as official inflation of European Central Bank with aim of stability of price in Monetary and Economic Union.</w:t>
            </w:r>
          </w:p>
        </w:tc>
      </w:tr>
      <w:tr w:rsidR="00844BD2" w:rsidRPr="008C684F" w14:paraId="4CC7115A" w14:textId="77777777" w:rsidTr="003B0BBB">
        <w:trPr>
          <w:trHeight w:val="562"/>
        </w:trPr>
        <w:tc>
          <w:tcPr>
            <w:tcW w:w="2320" w:type="dxa"/>
            <w:shd w:val="clear" w:color="auto" w:fill="FFFFCC"/>
            <w:noWrap/>
            <w:vAlign w:val="center"/>
            <w:hideMark/>
          </w:tcPr>
          <w:p w14:paraId="6EC12DE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 xml:space="preserve">3.2. Classification </w:t>
            </w:r>
            <w:r w:rsidRPr="008C684F">
              <w:rPr>
                <w:rFonts w:ascii="Times New Roman" w:eastAsia="Times New Roman" w:hAnsi="Times New Roman" w:cs="Times New Roman"/>
                <w:noProof/>
                <w:color w:val="000000"/>
                <w:sz w:val="24"/>
                <w:szCs w:val="24"/>
                <w:lang w:val="sq-AL" w:eastAsia="sq-AL"/>
              </w:rPr>
              <w:lastRenderedPageBreak/>
              <w:t>system</w:t>
            </w:r>
          </w:p>
        </w:tc>
        <w:tc>
          <w:tcPr>
            <w:tcW w:w="8071" w:type="dxa"/>
            <w:shd w:val="clear" w:color="auto" w:fill="auto"/>
            <w:vAlign w:val="center"/>
          </w:tcPr>
          <w:p w14:paraId="4DEC466F" w14:textId="77777777" w:rsidR="00844BD2" w:rsidRPr="008C684F" w:rsidRDefault="00844BD2" w:rsidP="008C684F">
            <w:pPr>
              <w:pStyle w:val="TableParagraph"/>
              <w:spacing w:before="240" w:after="240"/>
              <w:ind w:left="101" w:right="86"/>
              <w:jc w:val="both"/>
              <w:rPr>
                <w:sz w:val="24"/>
              </w:rPr>
            </w:pPr>
            <w:r w:rsidRPr="008C684F">
              <w:rPr>
                <w:sz w:val="24"/>
              </w:rPr>
              <w:lastRenderedPageBreak/>
              <w:t xml:space="preserve">Individual Consumption by Purpose (COICOP). Main COICOP groups of </w:t>
            </w:r>
            <w:r w:rsidRPr="008C684F">
              <w:rPr>
                <w:sz w:val="24"/>
              </w:rPr>
              <w:lastRenderedPageBreak/>
              <w:t>expenditures are:</w:t>
            </w:r>
          </w:p>
          <w:p w14:paraId="7C56E2F7" w14:textId="77777777" w:rsidR="00844BD2" w:rsidRPr="008C684F" w:rsidRDefault="00844BD2" w:rsidP="00EE3CE1">
            <w:pPr>
              <w:pStyle w:val="TableParagraph"/>
              <w:numPr>
                <w:ilvl w:val="0"/>
                <w:numId w:val="1"/>
              </w:numPr>
              <w:tabs>
                <w:tab w:val="left" w:pos="470"/>
              </w:tabs>
              <w:rPr>
                <w:sz w:val="24"/>
              </w:rPr>
            </w:pPr>
            <w:r w:rsidRPr="008C684F">
              <w:rPr>
                <w:sz w:val="24"/>
              </w:rPr>
              <w:t>Food and non-alcoholic</w:t>
            </w:r>
            <w:r w:rsidRPr="008C684F">
              <w:rPr>
                <w:spacing w:val="-1"/>
                <w:sz w:val="24"/>
              </w:rPr>
              <w:t xml:space="preserve"> </w:t>
            </w:r>
            <w:r w:rsidRPr="008C684F">
              <w:rPr>
                <w:sz w:val="24"/>
              </w:rPr>
              <w:t>beverages</w:t>
            </w:r>
          </w:p>
          <w:p w14:paraId="2C4E2B59" w14:textId="77777777" w:rsidR="00844BD2" w:rsidRPr="008C684F" w:rsidRDefault="00844BD2" w:rsidP="00EE3CE1">
            <w:pPr>
              <w:pStyle w:val="TableParagraph"/>
              <w:numPr>
                <w:ilvl w:val="0"/>
                <w:numId w:val="1"/>
              </w:numPr>
              <w:tabs>
                <w:tab w:val="left" w:pos="470"/>
              </w:tabs>
              <w:rPr>
                <w:sz w:val="24"/>
              </w:rPr>
            </w:pPr>
            <w:r w:rsidRPr="008C684F">
              <w:rPr>
                <w:sz w:val="24"/>
              </w:rPr>
              <w:t>Alcoholic beverages and</w:t>
            </w:r>
            <w:r w:rsidRPr="008C684F">
              <w:rPr>
                <w:spacing w:val="-4"/>
                <w:sz w:val="24"/>
              </w:rPr>
              <w:t xml:space="preserve"> </w:t>
            </w:r>
            <w:r w:rsidRPr="008C684F">
              <w:rPr>
                <w:sz w:val="24"/>
              </w:rPr>
              <w:t>tobacco</w:t>
            </w:r>
          </w:p>
          <w:p w14:paraId="4DE1B47F" w14:textId="77777777" w:rsidR="00844BD2" w:rsidRPr="008C684F" w:rsidRDefault="00844BD2" w:rsidP="00EE3CE1">
            <w:pPr>
              <w:pStyle w:val="TableParagraph"/>
              <w:numPr>
                <w:ilvl w:val="0"/>
                <w:numId w:val="1"/>
              </w:numPr>
              <w:tabs>
                <w:tab w:val="left" w:pos="470"/>
              </w:tabs>
              <w:rPr>
                <w:sz w:val="24"/>
              </w:rPr>
            </w:pPr>
            <w:r w:rsidRPr="008C684F">
              <w:rPr>
                <w:sz w:val="24"/>
              </w:rPr>
              <w:t>Clothing and</w:t>
            </w:r>
            <w:r w:rsidRPr="008C684F">
              <w:rPr>
                <w:spacing w:val="-5"/>
                <w:sz w:val="24"/>
              </w:rPr>
              <w:t xml:space="preserve"> </w:t>
            </w:r>
            <w:r w:rsidRPr="008C684F">
              <w:rPr>
                <w:sz w:val="24"/>
              </w:rPr>
              <w:t>footwear</w:t>
            </w:r>
          </w:p>
          <w:p w14:paraId="66D64AB2" w14:textId="77777777" w:rsidR="00844BD2" w:rsidRPr="008C684F" w:rsidRDefault="00844BD2" w:rsidP="00EE3CE1">
            <w:pPr>
              <w:pStyle w:val="TableParagraph"/>
              <w:numPr>
                <w:ilvl w:val="0"/>
                <w:numId w:val="1"/>
              </w:numPr>
              <w:tabs>
                <w:tab w:val="left" w:pos="470"/>
              </w:tabs>
              <w:rPr>
                <w:sz w:val="24"/>
              </w:rPr>
            </w:pPr>
            <w:r w:rsidRPr="008C684F">
              <w:rPr>
                <w:sz w:val="24"/>
              </w:rPr>
              <w:t>Housing, water, electricity, gas and other</w:t>
            </w:r>
            <w:r w:rsidRPr="008C684F">
              <w:rPr>
                <w:spacing w:val="-1"/>
                <w:sz w:val="24"/>
              </w:rPr>
              <w:t xml:space="preserve"> </w:t>
            </w:r>
            <w:r w:rsidRPr="008C684F">
              <w:rPr>
                <w:sz w:val="24"/>
              </w:rPr>
              <w:t>fuels</w:t>
            </w:r>
          </w:p>
          <w:p w14:paraId="1DC4DD42" w14:textId="709EEF0E" w:rsidR="00844BD2" w:rsidRPr="008C684F" w:rsidRDefault="00844BD2" w:rsidP="00EE3CE1">
            <w:pPr>
              <w:pStyle w:val="ListParagraph"/>
              <w:numPr>
                <w:ilvl w:val="0"/>
                <w:numId w:val="3"/>
              </w:numPr>
              <w:spacing w:after="0" w:line="240" w:lineRule="auto"/>
              <w:ind w:right="86"/>
              <w:jc w:val="both"/>
              <w:rPr>
                <w:rFonts w:ascii="Times New Roman" w:hAnsi="Times New Roman" w:cs="Times New Roman"/>
                <w:sz w:val="24"/>
              </w:rPr>
            </w:pPr>
            <w:r w:rsidRPr="008C684F">
              <w:rPr>
                <w:rFonts w:ascii="Times New Roman" w:hAnsi="Times New Roman" w:cs="Times New Roman"/>
                <w:sz w:val="24"/>
              </w:rPr>
              <w:t>Furnishings, Household equipment and routine maintenance</w:t>
            </w:r>
            <w:r w:rsidRPr="008C684F">
              <w:rPr>
                <w:rFonts w:ascii="Times New Roman" w:hAnsi="Times New Roman" w:cs="Times New Roman"/>
                <w:spacing w:val="-13"/>
                <w:sz w:val="24"/>
              </w:rPr>
              <w:t xml:space="preserve"> </w:t>
            </w:r>
            <w:r w:rsidRPr="008C684F">
              <w:rPr>
                <w:rFonts w:ascii="Times New Roman" w:hAnsi="Times New Roman" w:cs="Times New Roman"/>
                <w:sz w:val="24"/>
              </w:rPr>
              <w:t>of the house</w:t>
            </w:r>
          </w:p>
          <w:p w14:paraId="13C2B0A1" w14:textId="77777777" w:rsidR="00844BD2" w:rsidRPr="008C684F" w:rsidRDefault="00844BD2" w:rsidP="00EE3CE1">
            <w:pPr>
              <w:pStyle w:val="TableParagraph"/>
              <w:numPr>
                <w:ilvl w:val="0"/>
                <w:numId w:val="3"/>
              </w:numPr>
              <w:tabs>
                <w:tab w:val="left" w:pos="470"/>
              </w:tabs>
              <w:rPr>
                <w:sz w:val="24"/>
              </w:rPr>
            </w:pPr>
            <w:r w:rsidRPr="008C684F">
              <w:rPr>
                <w:sz w:val="24"/>
              </w:rPr>
              <w:t>Health</w:t>
            </w:r>
          </w:p>
          <w:p w14:paraId="2EFEB97A" w14:textId="77777777" w:rsidR="00844BD2" w:rsidRPr="008C684F" w:rsidRDefault="00844BD2" w:rsidP="00EE3CE1">
            <w:pPr>
              <w:pStyle w:val="TableParagraph"/>
              <w:numPr>
                <w:ilvl w:val="0"/>
                <w:numId w:val="3"/>
              </w:numPr>
              <w:tabs>
                <w:tab w:val="left" w:pos="470"/>
              </w:tabs>
              <w:rPr>
                <w:sz w:val="24"/>
              </w:rPr>
            </w:pPr>
            <w:r w:rsidRPr="008C684F">
              <w:rPr>
                <w:sz w:val="24"/>
              </w:rPr>
              <w:t>Transport</w:t>
            </w:r>
          </w:p>
          <w:p w14:paraId="7D1E3E81" w14:textId="77777777" w:rsidR="00844BD2" w:rsidRPr="008C684F" w:rsidRDefault="00844BD2" w:rsidP="00EE3CE1">
            <w:pPr>
              <w:pStyle w:val="TableParagraph"/>
              <w:numPr>
                <w:ilvl w:val="0"/>
                <w:numId w:val="3"/>
              </w:numPr>
              <w:tabs>
                <w:tab w:val="left" w:pos="470"/>
              </w:tabs>
              <w:rPr>
                <w:sz w:val="24"/>
              </w:rPr>
            </w:pPr>
            <w:r w:rsidRPr="008C684F">
              <w:rPr>
                <w:sz w:val="24"/>
              </w:rPr>
              <w:t>Communication</w:t>
            </w:r>
          </w:p>
          <w:p w14:paraId="0C50DC1E" w14:textId="77777777" w:rsidR="00844BD2" w:rsidRPr="008C684F" w:rsidRDefault="00844BD2" w:rsidP="00EE3CE1">
            <w:pPr>
              <w:pStyle w:val="TableParagraph"/>
              <w:numPr>
                <w:ilvl w:val="0"/>
                <w:numId w:val="3"/>
              </w:numPr>
              <w:tabs>
                <w:tab w:val="left" w:pos="470"/>
              </w:tabs>
              <w:rPr>
                <w:sz w:val="24"/>
              </w:rPr>
            </w:pPr>
            <w:r w:rsidRPr="008C684F">
              <w:rPr>
                <w:sz w:val="24"/>
              </w:rPr>
              <w:t>Recreation and</w:t>
            </w:r>
            <w:r w:rsidRPr="008C684F">
              <w:rPr>
                <w:spacing w:val="-5"/>
                <w:sz w:val="24"/>
              </w:rPr>
              <w:t xml:space="preserve"> </w:t>
            </w:r>
            <w:r w:rsidRPr="008C684F">
              <w:rPr>
                <w:sz w:val="24"/>
              </w:rPr>
              <w:t>culture</w:t>
            </w:r>
          </w:p>
          <w:p w14:paraId="15192B1D" w14:textId="77777777" w:rsidR="00844BD2" w:rsidRPr="008C684F" w:rsidRDefault="00844BD2" w:rsidP="00EE3CE1">
            <w:pPr>
              <w:pStyle w:val="TableParagraph"/>
              <w:numPr>
                <w:ilvl w:val="0"/>
                <w:numId w:val="2"/>
              </w:numPr>
              <w:tabs>
                <w:tab w:val="left" w:pos="470"/>
              </w:tabs>
              <w:rPr>
                <w:sz w:val="24"/>
              </w:rPr>
            </w:pPr>
            <w:r w:rsidRPr="008C684F">
              <w:rPr>
                <w:sz w:val="24"/>
              </w:rPr>
              <w:t>Education</w:t>
            </w:r>
          </w:p>
          <w:p w14:paraId="0197C491" w14:textId="77777777" w:rsidR="00844BD2" w:rsidRPr="008C684F" w:rsidRDefault="00844BD2" w:rsidP="00EE3CE1">
            <w:pPr>
              <w:pStyle w:val="TableParagraph"/>
              <w:numPr>
                <w:ilvl w:val="0"/>
                <w:numId w:val="2"/>
              </w:numPr>
              <w:tabs>
                <w:tab w:val="left" w:pos="470"/>
              </w:tabs>
              <w:rPr>
                <w:sz w:val="24"/>
              </w:rPr>
            </w:pPr>
            <w:r w:rsidRPr="008C684F">
              <w:rPr>
                <w:sz w:val="24"/>
              </w:rPr>
              <w:t>Restaurants and</w:t>
            </w:r>
            <w:r w:rsidRPr="008C684F">
              <w:rPr>
                <w:spacing w:val="-4"/>
                <w:sz w:val="24"/>
              </w:rPr>
              <w:t xml:space="preserve"> </w:t>
            </w:r>
            <w:r w:rsidRPr="008C684F">
              <w:rPr>
                <w:sz w:val="24"/>
              </w:rPr>
              <w:t>Hotels</w:t>
            </w:r>
          </w:p>
          <w:p w14:paraId="040B9E5D" w14:textId="5444F7FC" w:rsidR="00844BD2" w:rsidRPr="008C684F" w:rsidRDefault="00662F9B" w:rsidP="00FB7C16">
            <w:pPr>
              <w:pStyle w:val="ListParagraph"/>
              <w:numPr>
                <w:ilvl w:val="0"/>
                <w:numId w:val="2"/>
              </w:numPr>
              <w:spacing w:line="240" w:lineRule="auto"/>
              <w:ind w:right="86"/>
              <w:jc w:val="both"/>
              <w:rPr>
                <w:rFonts w:ascii="Times New Roman" w:hAnsi="Times New Roman" w:cs="Times New Roman"/>
                <w:noProof/>
                <w:color w:val="000000"/>
                <w:lang w:val="sq-AL" w:eastAsia="sq-AL"/>
              </w:rPr>
            </w:pPr>
            <w:r w:rsidRPr="00662F9B">
              <w:rPr>
                <w:rFonts w:ascii="Times New Roman" w:eastAsia="Times New Roman" w:hAnsi="Times New Roman" w:cs="Times New Roman"/>
                <w:sz w:val="24"/>
              </w:rPr>
              <w:t>Miscellaneous goods and services</w:t>
            </w:r>
          </w:p>
        </w:tc>
      </w:tr>
      <w:tr w:rsidR="00844BD2" w:rsidRPr="008C684F" w14:paraId="7FB797CE" w14:textId="77777777" w:rsidTr="003B0BBB">
        <w:trPr>
          <w:trHeight w:val="567"/>
        </w:trPr>
        <w:tc>
          <w:tcPr>
            <w:tcW w:w="2320" w:type="dxa"/>
            <w:shd w:val="clear" w:color="auto" w:fill="FFFFCC"/>
            <w:vAlign w:val="center"/>
            <w:hideMark/>
          </w:tcPr>
          <w:p w14:paraId="0BF1930C" w14:textId="77777777" w:rsidR="00844BD2" w:rsidRPr="008C684F" w:rsidRDefault="00844BD2" w:rsidP="00220742">
            <w:pPr>
              <w:spacing w:before="24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3.3. Sector coverage</w:t>
            </w:r>
          </w:p>
        </w:tc>
        <w:tc>
          <w:tcPr>
            <w:tcW w:w="8071" w:type="dxa"/>
            <w:shd w:val="clear" w:color="auto" w:fill="auto"/>
            <w:vAlign w:val="center"/>
          </w:tcPr>
          <w:p w14:paraId="243A2666" w14:textId="77777777" w:rsidR="00844BD2" w:rsidRPr="00220742" w:rsidRDefault="00844BD2" w:rsidP="00220742">
            <w:pPr>
              <w:pStyle w:val="NoSpacing"/>
              <w:spacing w:before="240"/>
              <w:ind w:left="101" w:right="86"/>
              <w:jc w:val="both"/>
              <w:rPr>
                <w:rFonts w:ascii="Times New Roman" w:hAnsi="Times New Roman" w:cs="Times New Roman"/>
                <w:sz w:val="24"/>
                <w:szCs w:val="24"/>
              </w:rPr>
            </w:pPr>
            <w:r w:rsidRPr="00220742">
              <w:rPr>
                <w:rFonts w:ascii="Times New Roman" w:hAnsi="Times New Roman" w:cs="Times New Roman"/>
                <w:sz w:val="24"/>
                <w:szCs w:val="24"/>
              </w:rPr>
              <w:t>CPI covers the expenditure of goods and services acquired by households in Albania.</w:t>
            </w:r>
          </w:p>
          <w:p w14:paraId="4DA2F5AC" w14:textId="5D33B881" w:rsidR="00844BD2" w:rsidRPr="00220742" w:rsidRDefault="00844BD2" w:rsidP="00220742">
            <w:pPr>
              <w:pStyle w:val="NoSpacing"/>
              <w:spacing w:after="200"/>
              <w:ind w:left="101" w:right="86"/>
              <w:jc w:val="both"/>
              <w:rPr>
                <w:rFonts w:ascii="Times New Roman" w:hAnsi="Times New Roman" w:cs="Times New Roman"/>
                <w:sz w:val="24"/>
                <w:szCs w:val="24"/>
              </w:rPr>
            </w:pPr>
            <w:r w:rsidRPr="00220742">
              <w:rPr>
                <w:rFonts w:ascii="Times New Roman" w:hAnsi="Times New Roman" w:cs="Times New Roman"/>
                <w:sz w:val="24"/>
                <w:szCs w:val="24"/>
              </w:rPr>
              <w:t>HICP covers the expenditure of goods and services acquired by resident and non-resident households in the territory of Albania.</w:t>
            </w:r>
          </w:p>
        </w:tc>
      </w:tr>
      <w:tr w:rsidR="00844BD2" w:rsidRPr="008C684F" w14:paraId="0C342491" w14:textId="77777777" w:rsidTr="003B0BBB">
        <w:trPr>
          <w:trHeight w:val="980"/>
        </w:trPr>
        <w:tc>
          <w:tcPr>
            <w:tcW w:w="2320" w:type="dxa"/>
            <w:shd w:val="clear" w:color="auto" w:fill="FFFFCC"/>
            <w:vAlign w:val="center"/>
            <w:hideMark/>
          </w:tcPr>
          <w:p w14:paraId="4147AF40"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3.4. Statistical concepts and definitons</w:t>
            </w:r>
          </w:p>
        </w:tc>
        <w:tc>
          <w:tcPr>
            <w:tcW w:w="8071" w:type="dxa"/>
            <w:shd w:val="clear" w:color="auto" w:fill="auto"/>
          </w:tcPr>
          <w:p w14:paraId="78BAB470" w14:textId="77777777" w:rsidR="00844BD2" w:rsidRPr="008C684F" w:rsidRDefault="00844BD2" w:rsidP="00A8000D">
            <w:pPr>
              <w:pStyle w:val="TableParagraph"/>
              <w:spacing w:before="240"/>
              <w:ind w:left="101" w:right="86"/>
              <w:jc w:val="both"/>
              <w:rPr>
                <w:sz w:val="24"/>
              </w:rPr>
            </w:pPr>
            <w:r w:rsidRPr="008C684F">
              <w:rPr>
                <w:sz w:val="24"/>
              </w:rPr>
              <w:t>The basket includes goods and services selected to measure relative changes of the price.</w:t>
            </w:r>
          </w:p>
          <w:p w14:paraId="2DA91C08" w14:textId="77777777" w:rsidR="00844BD2" w:rsidRPr="008C684F" w:rsidRDefault="00844BD2" w:rsidP="00662F9B">
            <w:pPr>
              <w:pStyle w:val="TableParagraph"/>
              <w:ind w:left="101" w:right="86"/>
              <w:jc w:val="both"/>
              <w:rPr>
                <w:sz w:val="24"/>
              </w:rPr>
            </w:pPr>
            <w:r w:rsidRPr="008C684F">
              <w:rPr>
                <w:sz w:val="24"/>
              </w:rPr>
              <w:t>Price refers to the actual price that consumers pay for goods and services including taxes and subventions.</w:t>
            </w:r>
          </w:p>
          <w:p w14:paraId="4BA535BF" w14:textId="77777777" w:rsidR="00844BD2" w:rsidRPr="008C684F" w:rsidRDefault="00844BD2" w:rsidP="00662F9B">
            <w:pPr>
              <w:pStyle w:val="TableParagraph"/>
              <w:ind w:left="101" w:right="86"/>
              <w:jc w:val="both"/>
              <w:rPr>
                <w:sz w:val="24"/>
              </w:rPr>
            </w:pPr>
            <w:r w:rsidRPr="008C684F">
              <w:rPr>
                <w:sz w:val="24"/>
              </w:rPr>
              <w:t>Base prices are the reference prices to calculate the index.</w:t>
            </w:r>
          </w:p>
          <w:p w14:paraId="1C0BCE3C" w14:textId="77777777" w:rsidR="00844BD2" w:rsidRPr="008C684F" w:rsidRDefault="00844BD2" w:rsidP="00662F9B">
            <w:pPr>
              <w:pStyle w:val="TableParagraph"/>
              <w:ind w:left="101" w:right="86"/>
              <w:jc w:val="both"/>
              <w:rPr>
                <w:sz w:val="24"/>
              </w:rPr>
            </w:pPr>
            <w:r w:rsidRPr="008C684F">
              <w:rPr>
                <w:sz w:val="24"/>
              </w:rPr>
              <w:t>Relative price is the ratio of the price of good and service in current period to prices in December of the previous year.</w:t>
            </w:r>
          </w:p>
          <w:p w14:paraId="0BF39237" w14:textId="77777777" w:rsidR="00844BD2" w:rsidRPr="008C684F" w:rsidRDefault="00844BD2" w:rsidP="00662F9B">
            <w:pPr>
              <w:pStyle w:val="TableParagraph"/>
              <w:ind w:left="101" w:right="86"/>
              <w:jc w:val="both"/>
              <w:rPr>
                <w:sz w:val="24"/>
              </w:rPr>
            </w:pPr>
            <w:r w:rsidRPr="008C684F">
              <w:rPr>
                <w:sz w:val="24"/>
              </w:rPr>
              <w:t>A household may consist of either - one person living alone, or - a group of persons who may or may not share relations of blood, marriage, affection and so on, but who live together and share a common or partially common economy.</w:t>
            </w:r>
          </w:p>
          <w:p w14:paraId="1A3D0739" w14:textId="5856ADEB" w:rsidR="00844BD2" w:rsidRPr="008C684F" w:rsidRDefault="00844BD2" w:rsidP="00662F9B">
            <w:pPr>
              <w:pStyle w:val="TableParagraph"/>
              <w:spacing w:after="240"/>
              <w:ind w:left="101" w:right="86"/>
              <w:jc w:val="both"/>
              <w:rPr>
                <w:sz w:val="24"/>
              </w:rPr>
            </w:pPr>
            <w:r w:rsidRPr="008C684F">
              <w:rPr>
                <w:sz w:val="24"/>
              </w:rPr>
              <w:t xml:space="preserve">CPI/HICP measure price change in a representative basket of goods and services typically consumed in Albania and are calculated according to a </w:t>
            </w:r>
            <w:r w:rsidR="00C942CF" w:rsidRPr="008C684F">
              <w:rPr>
                <w:sz w:val="24"/>
              </w:rPr>
              <w:t>harmonized</w:t>
            </w:r>
            <w:r w:rsidRPr="008C684F">
              <w:rPr>
                <w:sz w:val="24"/>
              </w:rPr>
              <w:t xml:space="preserve"> methodology and sets of regulations. CPI and HICP are </w:t>
            </w:r>
            <w:proofErr w:type="spellStart"/>
            <w:r w:rsidRPr="008C684F">
              <w:rPr>
                <w:sz w:val="24"/>
              </w:rPr>
              <w:t>Laspeyre</w:t>
            </w:r>
            <w:proofErr w:type="spellEnd"/>
            <w:r w:rsidRPr="008C684F">
              <w:rPr>
                <w:sz w:val="24"/>
              </w:rPr>
              <w:t xml:space="preserve"> index type.</w:t>
            </w:r>
          </w:p>
          <w:p w14:paraId="324AD4DF" w14:textId="77777777" w:rsidR="00844BD2" w:rsidRPr="008C684F" w:rsidRDefault="00844BD2" w:rsidP="00EE3CE1">
            <w:pPr>
              <w:pStyle w:val="TableParagraph"/>
              <w:numPr>
                <w:ilvl w:val="0"/>
                <w:numId w:val="4"/>
              </w:numPr>
              <w:tabs>
                <w:tab w:val="left" w:pos="895"/>
              </w:tabs>
              <w:jc w:val="both"/>
              <w:rPr>
                <w:sz w:val="24"/>
              </w:rPr>
            </w:pPr>
            <w:r w:rsidRPr="008C684F">
              <w:rPr>
                <w:sz w:val="24"/>
              </w:rPr>
              <w:t>Monthly</w:t>
            </w:r>
            <w:r w:rsidRPr="008C684F">
              <w:rPr>
                <w:spacing w:val="-1"/>
                <w:sz w:val="24"/>
              </w:rPr>
              <w:t xml:space="preserve"> </w:t>
            </w:r>
            <w:r w:rsidRPr="008C684F">
              <w:rPr>
                <w:sz w:val="24"/>
              </w:rPr>
              <w:t>data:</w:t>
            </w:r>
          </w:p>
          <w:p w14:paraId="7BD54D91" w14:textId="618A2D3D" w:rsidR="00844BD2" w:rsidRPr="008C684F" w:rsidRDefault="00844BD2" w:rsidP="00EE3CE1">
            <w:pPr>
              <w:pStyle w:val="TableParagraph"/>
              <w:numPr>
                <w:ilvl w:val="1"/>
                <w:numId w:val="4"/>
              </w:numPr>
              <w:tabs>
                <w:tab w:val="left" w:pos="1212"/>
              </w:tabs>
              <w:spacing w:before="8" w:line="296" w:lineRule="exact"/>
              <w:ind w:hanging="253"/>
              <w:rPr>
                <w:sz w:val="24"/>
              </w:rPr>
            </w:pPr>
            <w:r w:rsidRPr="008C684F">
              <w:rPr>
                <w:sz w:val="24"/>
              </w:rPr>
              <w:t>Indices</w:t>
            </w:r>
            <w:r w:rsidRPr="008C684F">
              <w:rPr>
                <w:spacing w:val="-1"/>
                <w:sz w:val="24"/>
              </w:rPr>
              <w:t xml:space="preserve"> </w:t>
            </w:r>
            <w:r w:rsidRPr="008C684F">
              <w:rPr>
                <w:sz w:val="24"/>
              </w:rPr>
              <w:t>20</w:t>
            </w:r>
            <w:r w:rsidR="006276F6">
              <w:rPr>
                <w:sz w:val="24"/>
              </w:rPr>
              <w:t>20</w:t>
            </w:r>
            <w:r w:rsidRPr="008C684F">
              <w:rPr>
                <w:sz w:val="24"/>
              </w:rPr>
              <w:t>=100,</w:t>
            </w:r>
          </w:p>
          <w:p w14:paraId="410DBCB8" w14:textId="77777777" w:rsidR="00844BD2" w:rsidRPr="008C684F" w:rsidRDefault="00844BD2" w:rsidP="00EE3CE1">
            <w:pPr>
              <w:pStyle w:val="TableParagraph"/>
              <w:numPr>
                <w:ilvl w:val="1"/>
                <w:numId w:val="4"/>
              </w:numPr>
              <w:tabs>
                <w:tab w:val="left" w:pos="1212"/>
              </w:tabs>
              <w:spacing w:line="295" w:lineRule="exact"/>
              <w:ind w:hanging="253"/>
              <w:rPr>
                <w:sz w:val="24"/>
              </w:rPr>
            </w:pPr>
            <w:r w:rsidRPr="008C684F">
              <w:rPr>
                <w:sz w:val="24"/>
              </w:rPr>
              <w:t>Annual rates of change,</w:t>
            </w:r>
          </w:p>
          <w:p w14:paraId="470DC139" w14:textId="77777777" w:rsidR="00844BD2" w:rsidRPr="008C684F" w:rsidRDefault="00844BD2" w:rsidP="00EE3CE1">
            <w:pPr>
              <w:pStyle w:val="TableParagraph"/>
              <w:numPr>
                <w:ilvl w:val="1"/>
                <w:numId w:val="4"/>
              </w:numPr>
              <w:tabs>
                <w:tab w:val="left" w:pos="1212"/>
              </w:tabs>
              <w:spacing w:line="296" w:lineRule="exact"/>
              <w:ind w:hanging="253"/>
              <w:rPr>
                <w:sz w:val="24"/>
              </w:rPr>
            </w:pPr>
            <w:r w:rsidRPr="008C684F">
              <w:rPr>
                <w:sz w:val="24"/>
              </w:rPr>
              <w:t>Monthly rates of</w:t>
            </w:r>
            <w:r w:rsidRPr="008C684F">
              <w:rPr>
                <w:spacing w:val="-1"/>
                <w:sz w:val="24"/>
              </w:rPr>
              <w:t xml:space="preserve"> </w:t>
            </w:r>
            <w:r w:rsidRPr="008C684F">
              <w:rPr>
                <w:sz w:val="24"/>
              </w:rPr>
              <w:t>change,</w:t>
            </w:r>
          </w:p>
          <w:p w14:paraId="75BA9480" w14:textId="77777777" w:rsidR="00844BD2" w:rsidRPr="008C684F" w:rsidRDefault="00844BD2" w:rsidP="00EE3CE1">
            <w:pPr>
              <w:pStyle w:val="TableParagraph"/>
              <w:numPr>
                <w:ilvl w:val="1"/>
                <w:numId w:val="4"/>
              </w:numPr>
              <w:tabs>
                <w:tab w:val="left" w:pos="1212"/>
              </w:tabs>
              <w:spacing w:before="1" w:line="288" w:lineRule="exact"/>
              <w:ind w:hanging="253"/>
              <w:rPr>
                <w:sz w:val="24"/>
              </w:rPr>
            </w:pPr>
            <w:r w:rsidRPr="008C684F">
              <w:rPr>
                <w:sz w:val="24"/>
              </w:rPr>
              <w:t>12-month average rate of change</w:t>
            </w:r>
          </w:p>
          <w:p w14:paraId="11DFE8D1" w14:textId="77777777" w:rsidR="00844BD2" w:rsidRPr="008C684F" w:rsidRDefault="00844BD2" w:rsidP="00EE3CE1">
            <w:pPr>
              <w:pStyle w:val="TableParagraph"/>
              <w:numPr>
                <w:ilvl w:val="0"/>
                <w:numId w:val="4"/>
              </w:numPr>
              <w:tabs>
                <w:tab w:val="left" w:pos="894"/>
                <w:tab w:val="left" w:pos="895"/>
              </w:tabs>
              <w:spacing w:line="286" w:lineRule="exact"/>
              <w:rPr>
                <w:sz w:val="24"/>
              </w:rPr>
            </w:pPr>
            <w:r w:rsidRPr="008C684F">
              <w:rPr>
                <w:sz w:val="24"/>
              </w:rPr>
              <w:t>Annual</w:t>
            </w:r>
            <w:r w:rsidRPr="008C684F">
              <w:rPr>
                <w:spacing w:val="-1"/>
                <w:sz w:val="24"/>
              </w:rPr>
              <w:t xml:space="preserve"> </w:t>
            </w:r>
            <w:r w:rsidRPr="008C684F">
              <w:rPr>
                <w:sz w:val="24"/>
              </w:rPr>
              <w:t>data:</w:t>
            </w:r>
          </w:p>
          <w:p w14:paraId="55F34635" w14:textId="77777777" w:rsidR="00844BD2" w:rsidRPr="008C684F" w:rsidRDefault="00844BD2" w:rsidP="00EE3CE1">
            <w:pPr>
              <w:pStyle w:val="TableParagraph"/>
              <w:numPr>
                <w:ilvl w:val="1"/>
                <w:numId w:val="4"/>
              </w:numPr>
              <w:tabs>
                <w:tab w:val="left" w:pos="1212"/>
              </w:tabs>
              <w:spacing w:before="16" w:line="296" w:lineRule="exact"/>
              <w:ind w:hanging="253"/>
              <w:rPr>
                <w:sz w:val="24"/>
              </w:rPr>
            </w:pPr>
            <w:r w:rsidRPr="008C684F">
              <w:rPr>
                <w:sz w:val="24"/>
              </w:rPr>
              <w:t>Average index and rate of</w:t>
            </w:r>
            <w:r w:rsidRPr="008C684F">
              <w:rPr>
                <w:spacing w:val="-4"/>
                <w:sz w:val="24"/>
              </w:rPr>
              <w:t xml:space="preserve"> </w:t>
            </w:r>
            <w:r w:rsidRPr="008C684F">
              <w:rPr>
                <w:sz w:val="24"/>
              </w:rPr>
              <w:t>change</w:t>
            </w:r>
          </w:p>
          <w:p w14:paraId="45C0B031" w14:textId="70D94681" w:rsidR="00844BD2" w:rsidRPr="008C684F" w:rsidRDefault="00844BD2" w:rsidP="00C604A0">
            <w:pPr>
              <w:pStyle w:val="TableParagraph"/>
              <w:tabs>
                <w:tab w:val="left" w:pos="1212"/>
              </w:tabs>
              <w:spacing w:before="16" w:line="296" w:lineRule="exact"/>
              <w:ind w:left="101" w:right="86"/>
              <w:rPr>
                <w:sz w:val="24"/>
              </w:rPr>
            </w:pPr>
            <w:r w:rsidRPr="008C684F">
              <w:rPr>
                <w:sz w:val="24"/>
              </w:rPr>
              <w:t>Item weights in 4-digit</w:t>
            </w:r>
            <w:r w:rsidRPr="008C684F">
              <w:rPr>
                <w:spacing w:val="3"/>
                <w:sz w:val="24"/>
              </w:rPr>
              <w:t xml:space="preserve"> </w:t>
            </w:r>
            <w:r w:rsidRPr="008C684F">
              <w:rPr>
                <w:sz w:val="24"/>
              </w:rPr>
              <w:t>levels</w:t>
            </w:r>
          </w:p>
        </w:tc>
      </w:tr>
      <w:tr w:rsidR="00844BD2" w:rsidRPr="008C684F" w14:paraId="38463BB6" w14:textId="77777777" w:rsidTr="003B0BBB">
        <w:trPr>
          <w:trHeight w:val="1340"/>
        </w:trPr>
        <w:tc>
          <w:tcPr>
            <w:tcW w:w="2320" w:type="dxa"/>
            <w:shd w:val="clear" w:color="auto" w:fill="FFFFCC"/>
            <w:vAlign w:val="center"/>
            <w:hideMark/>
          </w:tcPr>
          <w:p w14:paraId="476B7D35"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3.5. Statistical unit</w:t>
            </w:r>
          </w:p>
        </w:tc>
        <w:tc>
          <w:tcPr>
            <w:tcW w:w="8071" w:type="dxa"/>
            <w:shd w:val="clear" w:color="auto" w:fill="auto"/>
            <w:noWrap/>
            <w:vAlign w:val="center"/>
          </w:tcPr>
          <w:p w14:paraId="4CBC7084" w14:textId="77777777" w:rsidR="00844BD2" w:rsidRPr="00220742" w:rsidRDefault="00844BD2" w:rsidP="00220742">
            <w:pPr>
              <w:pStyle w:val="NoSpacing"/>
              <w:spacing w:before="240"/>
              <w:ind w:left="101" w:right="86"/>
              <w:jc w:val="both"/>
              <w:rPr>
                <w:rFonts w:ascii="Times New Roman" w:hAnsi="Times New Roman" w:cs="Times New Roman"/>
                <w:sz w:val="24"/>
                <w:szCs w:val="24"/>
              </w:rPr>
            </w:pPr>
            <w:r w:rsidRPr="00220742">
              <w:rPr>
                <w:rFonts w:ascii="Times New Roman" w:hAnsi="Times New Roman" w:cs="Times New Roman"/>
                <w:sz w:val="24"/>
                <w:szCs w:val="24"/>
              </w:rPr>
              <w:t>Each published index (CPI) or rate of change refers to the “final household monetary consumption” within the economic territory of Albania.</w:t>
            </w:r>
          </w:p>
          <w:p w14:paraId="01AF2C61" w14:textId="74355A7B" w:rsidR="00844BD2" w:rsidRPr="00220742" w:rsidRDefault="00844BD2" w:rsidP="00220742">
            <w:pPr>
              <w:pStyle w:val="NoSpacing"/>
              <w:spacing w:after="240"/>
              <w:ind w:left="101" w:right="86"/>
              <w:jc w:val="both"/>
              <w:rPr>
                <w:rFonts w:ascii="Times New Roman" w:hAnsi="Times New Roman" w:cs="Times New Roman"/>
                <w:sz w:val="24"/>
                <w:szCs w:val="24"/>
              </w:rPr>
            </w:pPr>
            <w:r w:rsidRPr="00220742">
              <w:rPr>
                <w:rFonts w:ascii="Times New Roman" w:hAnsi="Times New Roman" w:cs="Times New Roman"/>
                <w:sz w:val="24"/>
                <w:szCs w:val="24"/>
              </w:rPr>
              <w:t>Each published index (HICP) or rate of change refers to the “final monetary consumption expenditure” within the economic territory of Albania. The statistical unit is the household who makes consumption expenses in Albania.</w:t>
            </w:r>
          </w:p>
        </w:tc>
      </w:tr>
      <w:tr w:rsidR="00844BD2" w:rsidRPr="008C684F" w14:paraId="260F4F95" w14:textId="77777777" w:rsidTr="003B0BBB">
        <w:trPr>
          <w:trHeight w:val="1610"/>
        </w:trPr>
        <w:tc>
          <w:tcPr>
            <w:tcW w:w="2320" w:type="dxa"/>
            <w:shd w:val="clear" w:color="auto" w:fill="FFFFCC"/>
            <w:vAlign w:val="center"/>
            <w:hideMark/>
          </w:tcPr>
          <w:p w14:paraId="796D90FA"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3.6. Statistical population</w:t>
            </w:r>
          </w:p>
        </w:tc>
        <w:tc>
          <w:tcPr>
            <w:tcW w:w="8071" w:type="dxa"/>
            <w:shd w:val="clear" w:color="auto" w:fill="auto"/>
            <w:vAlign w:val="center"/>
          </w:tcPr>
          <w:p w14:paraId="12090FA2" w14:textId="349DF811" w:rsidR="00844BD2" w:rsidRPr="008C684F" w:rsidRDefault="00844BD2" w:rsidP="008C684F">
            <w:pPr>
              <w:pStyle w:val="TableParagraph"/>
              <w:spacing w:before="240" w:after="240"/>
              <w:ind w:left="101" w:right="86"/>
              <w:jc w:val="both"/>
              <w:rPr>
                <w:sz w:val="24"/>
              </w:rPr>
            </w:pPr>
            <w:r w:rsidRPr="008C684F">
              <w:rPr>
                <w:sz w:val="24"/>
              </w:rPr>
              <w:t>The target statistical population is the final resident household monetary consumption within the economic territory of Albania. CPI comprises all products and services purchased in monetary transactions by private households within or out the territory of a country; by resident households. The CPI excludes interest and credit charges, considering them as financing costs rather than consumption expenditure.</w:t>
            </w:r>
          </w:p>
          <w:p w14:paraId="7B5FD22F" w14:textId="19CBBF0A" w:rsidR="00844BD2" w:rsidRPr="008C684F" w:rsidRDefault="00844BD2" w:rsidP="008C684F">
            <w:pPr>
              <w:pStyle w:val="TableParagraph"/>
              <w:spacing w:before="240" w:after="240"/>
              <w:ind w:left="101" w:right="86"/>
              <w:jc w:val="both"/>
              <w:rPr>
                <w:sz w:val="24"/>
              </w:rPr>
            </w:pPr>
            <w:r w:rsidRPr="008C684F">
              <w:rPr>
                <w:sz w:val="24"/>
              </w:rPr>
              <w:t xml:space="preserve">The target statistical population is the household (foreign or resident) final monetary consumption expenditure (HFMCE) within the economic territories of the countries compiling the HICP. This definition is based in the National Account concepts in the European System of Accounts (ESA 2010). HICP comprise all products and services purchased in monetary transactions by households within the territory of a country; those by both resident and </w:t>
            </w:r>
            <w:r w:rsidR="00220742" w:rsidRPr="008C684F">
              <w:rPr>
                <w:sz w:val="24"/>
              </w:rPr>
              <w:t>non-resident</w:t>
            </w:r>
            <w:r w:rsidRPr="008C684F">
              <w:rPr>
                <w:sz w:val="24"/>
              </w:rPr>
              <w:t xml:space="preserve"> households, and Albanian and non-Albanian. HICPs cover the prices paid for goods and services in monetary transactions. The prices measured are 4 those actually faced by consumers. The HICPs exclude interest and credit charges, considering them as financing costs rather than consumption expenditure.</w:t>
            </w:r>
          </w:p>
        </w:tc>
      </w:tr>
      <w:tr w:rsidR="00844BD2" w:rsidRPr="008C684F" w14:paraId="203CF878" w14:textId="77777777" w:rsidTr="00097764">
        <w:trPr>
          <w:trHeight w:val="953"/>
        </w:trPr>
        <w:tc>
          <w:tcPr>
            <w:tcW w:w="2320" w:type="dxa"/>
            <w:shd w:val="clear" w:color="auto" w:fill="FFFFCC"/>
            <w:vAlign w:val="center"/>
            <w:hideMark/>
          </w:tcPr>
          <w:p w14:paraId="346CE05F"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3.7. Reference area</w:t>
            </w:r>
          </w:p>
        </w:tc>
        <w:tc>
          <w:tcPr>
            <w:tcW w:w="8071" w:type="dxa"/>
            <w:shd w:val="clear" w:color="auto" w:fill="auto"/>
            <w:noWrap/>
          </w:tcPr>
          <w:p w14:paraId="4FE85CCD" w14:textId="2D4703B3" w:rsidR="00844BD2" w:rsidRPr="00220742" w:rsidRDefault="00844BD2" w:rsidP="00220742">
            <w:pPr>
              <w:pStyle w:val="NoSpacing"/>
              <w:spacing w:before="240"/>
              <w:ind w:left="101" w:right="86"/>
              <w:jc w:val="both"/>
              <w:rPr>
                <w:rFonts w:ascii="Times New Roman" w:hAnsi="Times New Roman" w:cs="Times New Roman"/>
                <w:sz w:val="24"/>
                <w:szCs w:val="24"/>
              </w:rPr>
            </w:pPr>
            <w:r w:rsidRPr="00220742">
              <w:rPr>
                <w:rFonts w:ascii="Times New Roman" w:hAnsi="Times New Roman" w:cs="Times New Roman"/>
                <w:sz w:val="24"/>
                <w:szCs w:val="24"/>
              </w:rPr>
              <w:t xml:space="preserve">Albania has 12 prefectures and for CPI and HICP calculations 11 prefectures are used and </w:t>
            </w:r>
            <w:proofErr w:type="spellStart"/>
            <w:r w:rsidRPr="00220742">
              <w:rPr>
                <w:rFonts w:ascii="Times New Roman" w:hAnsi="Times New Roman" w:cs="Times New Roman"/>
                <w:sz w:val="24"/>
                <w:szCs w:val="24"/>
              </w:rPr>
              <w:t>Kukës</w:t>
            </w:r>
            <w:proofErr w:type="spellEnd"/>
            <w:r w:rsidRPr="00220742">
              <w:rPr>
                <w:rFonts w:ascii="Times New Roman" w:hAnsi="Times New Roman" w:cs="Times New Roman"/>
                <w:sz w:val="24"/>
                <w:szCs w:val="24"/>
              </w:rPr>
              <w:t xml:space="preserve"> prefecture is covered by </w:t>
            </w:r>
            <w:proofErr w:type="spellStart"/>
            <w:r w:rsidRPr="00220742">
              <w:rPr>
                <w:rFonts w:ascii="Times New Roman" w:hAnsi="Times New Roman" w:cs="Times New Roman"/>
                <w:sz w:val="24"/>
                <w:szCs w:val="24"/>
              </w:rPr>
              <w:t>Dibër</w:t>
            </w:r>
            <w:proofErr w:type="spellEnd"/>
            <w:r w:rsidR="00A8000D" w:rsidRPr="00220742">
              <w:rPr>
                <w:rFonts w:ascii="Times New Roman" w:hAnsi="Times New Roman" w:cs="Times New Roman"/>
                <w:sz w:val="24"/>
                <w:szCs w:val="24"/>
              </w:rPr>
              <w:t xml:space="preserve"> </w:t>
            </w:r>
            <w:r w:rsidRPr="00220742">
              <w:rPr>
                <w:rFonts w:ascii="Times New Roman" w:hAnsi="Times New Roman" w:cs="Times New Roman"/>
                <w:sz w:val="24"/>
                <w:szCs w:val="24"/>
              </w:rPr>
              <w:t>prefecture.</w:t>
            </w:r>
          </w:p>
        </w:tc>
      </w:tr>
      <w:tr w:rsidR="00844BD2" w:rsidRPr="008C684F" w14:paraId="78BC4358" w14:textId="77777777" w:rsidTr="00097764">
        <w:trPr>
          <w:trHeight w:val="899"/>
        </w:trPr>
        <w:tc>
          <w:tcPr>
            <w:tcW w:w="2320" w:type="dxa"/>
            <w:shd w:val="clear" w:color="auto" w:fill="FFFFCC"/>
            <w:vAlign w:val="center"/>
            <w:hideMark/>
          </w:tcPr>
          <w:p w14:paraId="5E14DED2"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 xml:space="preserve">3.8. </w:t>
            </w:r>
            <w:r w:rsidRPr="008C684F">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tcPr>
          <w:p w14:paraId="61B50636" w14:textId="1E69E40C" w:rsidR="00844BD2" w:rsidRPr="00220742" w:rsidRDefault="00844BD2" w:rsidP="00220742">
            <w:pPr>
              <w:pStyle w:val="NoSpacing"/>
              <w:spacing w:before="240"/>
              <w:ind w:left="101" w:right="86"/>
              <w:jc w:val="both"/>
              <w:rPr>
                <w:rFonts w:ascii="Times New Roman" w:hAnsi="Times New Roman" w:cs="Times New Roman"/>
                <w:sz w:val="24"/>
                <w:szCs w:val="24"/>
              </w:rPr>
            </w:pPr>
            <w:r w:rsidRPr="00220742">
              <w:rPr>
                <w:rFonts w:ascii="Times New Roman" w:hAnsi="Times New Roman" w:cs="Times New Roman"/>
                <w:sz w:val="24"/>
                <w:szCs w:val="24"/>
              </w:rPr>
              <w:t>CPI for Albania is available since 1993 and HICP for Albania is</w:t>
            </w:r>
            <w:r w:rsidR="00A8000D" w:rsidRPr="00220742">
              <w:rPr>
                <w:rFonts w:ascii="Times New Roman" w:hAnsi="Times New Roman" w:cs="Times New Roman"/>
                <w:sz w:val="24"/>
                <w:szCs w:val="24"/>
              </w:rPr>
              <w:t xml:space="preserve"> </w:t>
            </w:r>
            <w:r w:rsidRPr="00220742">
              <w:rPr>
                <w:rFonts w:ascii="Times New Roman" w:hAnsi="Times New Roman" w:cs="Times New Roman"/>
                <w:sz w:val="24"/>
                <w:szCs w:val="24"/>
              </w:rPr>
              <w:t>available since January 2016</w:t>
            </w:r>
            <w:r w:rsidR="00097764">
              <w:rPr>
                <w:rFonts w:ascii="Times New Roman" w:hAnsi="Times New Roman" w:cs="Times New Roman"/>
                <w:sz w:val="24"/>
                <w:szCs w:val="24"/>
              </w:rPr>
              <w:t>.</w:t>
            </w:r>
          </w:p>
        </w:tc>
      </w:tr>
      <w:tr w:rsidR="00844BD2" w:rsidRPr="008C684F" w14:paraId="3FA931E2" w14:textId="77777777" w:rsidTr="00097764">
        <w:trPr>
          <w:trHeight w:val="881"/>
        </w:trPr>
        <w:tc>
          <w:tcPr>
            <w:tcW w:w="2320" w:type="dxa"/>
            <w:shd w:val="clear" w:color="auto" w:fill="FFFFCC"/>
            <w:noWrap/>
            <w:vAlign w:val="center"/>
            <w:hideMark/>
          </w:tcPr>
          <w:p w14:paraId="69707F3A"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3.9. Base period</w:t>
            </w:r>
          </w:p>
        </w:tc>
        <w:tc>
          <w:tcPr>
            <w:tcW w:w="8071" w:type="dxa"/>
            <w:shd w:val="clear" w:color="auto" w:fill="auto"/>
            <w:noWrap/>
          </w:tcPr>
          <w:p w14:paraId="1BCDC271" w14:textId="2492AF02" w:rsidR="00844BD2" w:rsidRPr="00220742" w:rsidRDefault="00844BD2" w:rsidP="006276F6">
            <w:pPr>
              <w:pStyle w:val="NoSpacing"/>
              <w:spacing w:before="240"/>
              <w:ind w:left="101" w:right="86"/>
              <w:jc w:val="both"/>
              <w:rPr>
                <w:rFonts w:ascii="Times New Roman" w:hAnsi="Times New Roman" w:cs="Times New Roman"/>
                <w:sz w:val="24"/>
                <w:szCs w:val="24"/>
              </w:rPr>
            </w:pPr>
            <w:r w:rsidRPr="00220742">
              <w:rPr>
                <w:rFonts w:ascii="Times New Roman" w:hAnsi="Times New Roman" w:cs="Times New Roman"/>
                <w:sz w:val="24"/>
                <w:szCs w:val="24"/>
              </w:rPr>
              <w:t>The reference period for CPI and HICP is December 20</w:t>
            </w:r>
            <w:r w:rsidR="006276F6">
              <w:rPr>
                <w:rFonts w:ascii="Times New Roman" w:hAnsi="Times New Roman" w:cs="Times New Roman"/>
                <w:sz w:val="24"/>
                <w:szCs w:val="24"/>
              </w:rPr>
              <w:t>20</w:t>
            </w:r>
            <w:r w:rsidRPr="00220742">
              <w:rPr>
                <w:rFonts w:ascii="Times New Roman" w:hAnsi="Times New Roman" w:cs="Times New Roman"/>
                <w:sz w:val="24"/>
                <w:szCs w:val="24"/>
              </w:rPr>
              <w:t xml:space="preserve"> (December 20</w:t>
            </w:r>
            <w:r w:rsidR="006276F6">
              <w:rPr>
                <w:rFonts w:ascii="Times New Roman" w:hAnsi="Times New Roman" w:cs="Times New Roman"/>
                <w:sz w:val="24"/>
                <w:szCs w:val="24"/>
              </w:rPr>
              <w:t>20</w:t>
            </w:r>
            <w:r w:rsidRPr="00220742">
              <w:rPr>
                <w:rFonts w:ascii="Times New Roman" w:hAnsi="Times New Roman" w:cs="Times New Roman"/>
                <w:sz w:val="24"/>
                <w:szCs w:val="24"/>
              </w:rPr>
              <w:t>=100).</w:t>
            </w:r>
          </w:p>
        </w:tc>
      </w:tr>
      <w:tr w:rsidR="00844BD2" w:rsidRPr="008C684F" w14:paraId="35FE8C07" w14:textId="77777777" w:rsidTr="003B0BBB">
        <w:trPr>
          <w:trHeight w:val="562"/>
        </w:trPr>
        <w:tc>
          <w:tcPr>
            <w:tcW w:w="2320" w:type="dxa"/>
            <w:shd w:val="clear" w:color="auto" w:fill="FBD4B4" w:themeFill="accent6" w:themeFillTint="66"/>
            <w:noWrap/>
            <w:vAlign w:val="center"/>
            <w:hideMark/>
          </w:tcPr>
          <w:p w14:paraId="58EB73DB" w14:textId="78862DC3"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37690479"/>
            <w:r w:rsidRPr="008C684F">
              <w:rPr>
                <w:rFonts w:ascii="Times New Roman" w:eastAsia="Times New Roman" w:hAnsi="Times New Roman" w:cs="Times New Roman"/>
                <w:noProof/>
                <w:color w:val="000000"/>
                <w:sz w:val="24"/>
                <w:szCs w:val="24"/>
                <w:lang w:val="sq-AL" w:eastAsia="sq-AL"/>
              </w:rPr>
              <w:t>4</w:t>
            </w:r>
            <w:r w:rsidRPr="008C684F">
              <w:rPr>
                <w:rFonts w:ascii="Times New Roman" w:eastAsia="Times New Roman" w:hAnsi="Times New Roman" w:cs="Times New Roman"/>
                <w:b w:val="0"/>
                <w:bCs w:val="0"/>
                <w:noProof/>
                <w:color w:val="000000"/>
                <w:sz w:val="24"/>
                <w:szCs w:val="24"/>
                <w:lang w:val="sq-AL" w:eastAsia="sq-AL"/>
              </w:rPr>
              <w:t xml:space="preserve">. </w:t>
            </w:r>
            <w:r w:rsidRPr="008C684F">
              <w:rPr>
                <w:rFonts w:ascii="Times New Roman" w:eastAsia="Times New Roman" w:hAnsi="Times New Roman" w:cs="Times New Roman"/>
                <w:noProof/>
                <w:color w:val="000000" w:themeColor="text1"/>
                <w:sz w:val="24"/>
                <w:szCs w:val="24"/>
                <w:lang w:val="sq-AL" w:eastAsia="sq-AL"/>
              </w:rPr>
              <w:t>Unit of measure</w:t>
            </w:r>
            <w:bookmarkEnd w:id="3"/>
          </w:p>
        </w:tc>
        <w:tc>
          <w:tcPr>
            <w:tcW w:w="8071" w:type="dxa"/>
            <w:shd w:val="clear" w:color="auto" w:fill="auto"/>
            <w:noWrap/>
            <w:vAlign w:val="center"/>
          </w:tcPr>
          <w:p w14:paraId="47E7EC33" w14:textId="77777777" w:rsidR="00844BD2" w:rsidRPr="008C684F" w:rsidRDefault="00844BD2" w:rsidP="00C942CF">
            <w:pPr>
              <w:pStyle w:val="TableParagraph"/>
              <w:spacing w:before="240"/>
              <w:ind w:left="101" w:right="86"/>
              <w:jc w:val="both"/>
              <w:rPr>
                <w:sz w:val="24"/>
              </w:rPr>
            </w:pPr>
            <w:r w:rsidRPr="008C684F">
              <w:rPr>
                <w:sz w:val="24"/>
              </w:rPr>
              <w:t>Following indicators are used:</w:t>
            </w:r>
          </w:p>
          <w:p w14:paraId="275D4023" w14:textId="15E9EAC2" w:rsidR="00844BD2" w:rsidRPr="008C684F" w:rsidRDefault="00844BD2" w:rsidP="00EE3CE1">
            <w:pPr>
              <w:pStyle w:val="TableParagraph"/>
              <w:numPr>
                <w:ilvl w:val="0"/>
                <w:numId w:val="5"/>
              </w:numPr>
              <w:tabs>
                <w:tab w:val="left" w:pos="907"/>
              </w:tabs>
              <w:spacing w:before="2"/>
              <w:ind w:right="87"/>
              <w:jc w:val="both"/>
              <w:rPr>
                <w:sz w:val="24"/>
              </w:rPr>
            </w:pPr>
            <w:r w:rsidRPr="008C684F">
              <w:rPr>
                <w:sz w:val="24"/>
              </w:rPr>
              <w:t>Index (Index is the ratio of the price of good and service in a given year to prices in the base year and it is expressed in percentage. CPI/HICP can be thought of as the amount that the average consumer would have to spend in a given year to buy the same basic goods and services that one would have to pay 100 monetary units for in the base</w:t>
            </w:r>
            <w:r w:rsidRPr="008C684F">
              <w:rPr>
                <w:spacing w:val="-4"/>
                <w:sz w:val="24"/>
              </w:rPr>
              <w:t xml:space="preserve"> </w:t>
            </w:r>
            <w:r w:rsidRPr="008C684F">
              <w:rPr>
                <w:sz w:val="24"/>
              </w:rPr>
              <w:t>period.)</w:t>
            </w:r>
          </w:p>
          <w:p w14:paraId="3F724FDD" w14:textId="7C65E752" w:rsidR="00844BD2" w:rsidRPr="008C684F" w:rsidRDefault="00844BD2" w:rsidP="00EE3CE1">
            <w:pPr>
              <w:pStyle w:val="TableParagraph"/>
              <w:numPr>
                <w:ilvl w:val="0"/>
                <w:numId w:val="5"/>
              </w:numPr>
              <w:tabs>
                <w:tab w:val="left" w:pos="928"/>
              </w:tabs>
              <w:spacing w:before="4" w:line="237" w:lineRule="auto"/>
              <w:ind w:right="91"/>
              <w:jc w:val="both"/>
              <w:rPr>
                <w:sz w:val="24"/>
              </w:rPr>
            </w:pPr>
            <w:r w:rsidRPr="008C684F">
              <w:rPr>
                <w:sz w:val="24"/>
              </w:rPr>
              <w:t>Percentage change on the same period of the previous year (Annual</w:t>
            </w:r>
            <w:r w:rsidRPr="008C684F">
              <w:rPr>
                <w:spacing w:val="1"/>
                <w:sz w:val="24"/>
              </w:rPr>
              <w:t xml:space="preserve"> </w:t>
            </w:r>
            <w:r w:rsidRPr="008C684F">
              <w:rPr>
                <w:sz w:val="24"/>
              </w:rPr>
              <w:t>rates)</w:t>
            </w:r>
          </w:p>
          <w:p w14:paraId="1F6EA043" w14:textId="77777777" w:rsidR="00844BD2" w:rsidRPr="008C684F" w:rsidRDefault="00844BD2" w:rsidP="00EE3CE1">
            <w:pPr>
              <w:pStyle w:val="TableParagraph"/>
              <w:numPr>
                <w:ilvl w:val="0"/>
                <w:numId w:val="5"/>
              </w:numPr>
              <w:tabs>
                <w:tab w:val="left" w:pos="895"/>
              </w:tabs>
              <w:spacing w:before="2"/>
              <w:jc w:val="both"/>
              <w:rPr>
                <w:sz w:val="24"/>
              </w:rPr>
            </w:pPr>
            <w:r w:rsidRPr="008C684F">
              <w:rPr>
                <w:sz w:val="24"/>
              </w:rPr>
              <w:t>Percentage change on the previous month (Monthly</w:t>
            </w:r>
            <w:r w:rsidRPr="008C684F">
              <w:rPr>
                <w:spacing w:val="-6"/>
                <w:sz w:val="24"/>
              </w:rPr>
              <w:t xml:space="preserve"> </w:t>
            </w:r>
            <w:r w:rsidRPr="008C684F">
              <w:rPr>
                <w:sz w:val="24"/>
              </w:rPr>
              <w:t>rates)</w:t>
            </w:r>
          </w:p>
          <w:p w14:paraId="5BC880B5" w14:textId="7206EF0C" w:rsidR="00844BD2" w:rsidRPr="008C684F" w:rsidRDefault="00844BD2" w:rsidP="00C942CF">
            <w:pPr>
              <w:pStyle w:val="ListParagraph"/>
              <w:numPr>
                <w:ilvl w:val="0"/>
                <w:numId w:val="5"/>
              </w:numPr>
              <w:spacing w:line="240" w:lineRule="auto"/>
              <w:ind w:right="86"/>
              <w:jc w:val="both"/>
              <w:rPr>
                <w:rFonts w:ascii="Times New Roman" w:hAnsi="Times New Roman" w:cs="Times New Roman"/>
                <w:noProof/>
                <w:sz w:val="24"/>
                <w:szCs w:val="24"/>
                <w:lang w:val="sq-AL"/>
              </w:rPr>
            </w:pPr>
            <w:r w:rsidRPr="008C684F">
              <w:rPr>
                <w:rFonts w:ascii="Times New Roman" w:hAnsi="Times New Roman" w:cs="Times New Roman"/>
                <w:sz w:val="24"/>
              </w:rPr>
              <w:t>Percentage share of the total</w:t>
            </w:r>
            <w:r w:rsidRPr="008C684F">
              <w:rPr>
                <w:rFonts w:ascii="Times New Roman" w:hAnsi="Times New Roman" w:cs="Times New Roman"/>
                <w:spacing w:val="1"/>
                <w:sz w:val="24"/>
              </w:rPr>
              <w:t xml:space="preserve"> </w:t>
            </w:r>
            <w:r w:rsidRPr="008C684F">
              <w:rPr>
                <w:rFonts w:ascii="Times New Roman" w:hAnsi="Times New Roman" w:cs="Times New Roman"/>
                <w:sz w:val="24"/>
              </w:rPr>
              <w:t>(Weights)</w:t>
            </w:r>
          </w:p>
        </w:tc>
      </w:tr>
      <w:tr w:rsidR="00844BD2" w:rsidRPr="008C684F" w14:paraId="36C16D74" w14:textId="77777777" w:rsidTr="003B0BBB">
        <w:trPr>
          <w:trHeight w:val="562"/>
        </w:trPr>
        <w:tc>
          <w:tcPr>
            <w:tcW w:w="2320" w:type="dxa"/>
            <w:shd w:val="clear" w:color="auto" w:fill="FBD4B4" w:themeFill="accent6" w:themeFillTint="66"/>
            <w:noWrap/>
            <w:vAlign w:val="center"/>
            <w:hideMark/>
          </w:tcPr>
          <w:p w14:paraId="014EAE15" w14:textId="24915841"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37690480"/>
            <w:r w:rsidRPr="008C684F">
              <w:rPr>
                <w:rFonts w:ascii="Times New Roman" w:eastAsia="Times New Roman" w:hAnsi="Times New Roman" w:cs="Times New Roman"/>
                <w:noProof/>
                <w:color w:val="000000" w:themeColor="text1"/>
                <w:sz w:val="24"/>
                <w:szCs w:val="24"/>
                <w:lang w:val="sq-AL" w:eastAsia="sq-AL"/>
              </w:rPr>
              <w:t>5. Reference period</w:t>
            </w:r>
            <w:bookmarkEnd w:id="4"/>
          </w:p>
        </w:tc>
        <w:tc>
          <w:tcPr>
            <w:tcW w:w="8071" w:type="dxa"/>
            <w:shd w:val="clear" w:color="auto" w:fill="auto"/>
            <w:noWrap/>
            <w:vAlign w:val="center"/>
          </w:tcPr>
          <w:p w14:paraId="4278FE52" w14:textId="078A19BF" w:rsidR="00844BD2" w:rsidRPr="008C684F" w:rsidRDefault="00844BD2" w:rsidP="00C52396">
            <w:pPr>
              <w:spacing w:after="0" w:line="240" w:lineRule="auto"/>
              <w:ind w:left="101" w:right="86"/>
              <w:jc w:val="both"/>
              <w:rPr>
                <w:rFonts w:ascii="Times New Roman" w:eastAsia="Times New Roman" w:hAnsi="Times New Roman" w:cs="Times New Roman"/>
                <w:color w:val="333333"/>
                <w:sz w:val="24"/>
                <w:szCs w:val="24"/>
              </w:rPr>
            </w:pPr>
            <w:r w:rsidRPr="00572B56">
              <w:rPr>
                <w:rFonts w:ascii="Times New Roman" w:hAnsi="Times New Roman" w:cs="Times New Roman"/>
                <w:sz w:val="24"/>
              </w:rPr>
              <w:t>The reference period for CPI/HICP is month.</w:t>
            </w:r>
            <w:r w:rsidR="00C50EA3" w:rsidRPr="00572B56">
              <w:rPr>
                <w:rFonts w:ascii="Times New Roman" w:hAnsi="Times New Roman" w:cs="Times New Roman"/>
                <w:sz w:val="24"/>
              </w:rPr>
              <w:t xml:space="preserve"> This report </w:t>
            </w:r>
            <w:r w:rsidR="007B516D" w:rsidRPr="00572B56">
              <w:rPr>
                <w:rFonts w:ascii="Times New Roman" w:hAnsi="Times New Roman" w:cs="Times New Roman"/>
                <w:sz w:val="24"/>
              </w:rPr>
              <w:t>refers</w:t>
            </w:r>
            <w:r w:rsidR="00C50EA3" w:rsidRPr="00572B56">
              <w:rPr>
                <w:rFonts w:ascii="Times New Roman" w:hAnsi="Times New Roman" w:cs="Times New Roman"/>
                <w:sz w:val="24"/>
              </w:rPr>
              <w:t xml:space="preserve"> to 20</w:t>
            </w:r>
            <w:r w:rsidR="00C52396" w:rsidRPr="00572B56">
              <w:rPr>
                <w:rFonts w:ascii="Times New Roman" w:hAnsi="Times New Roman" w:cs="Times New Roman"/>
                <w:sz w:val="24"/>
              </w:rPr>
              <w:t>20</w:t>
            </w:r>
            <w:r w:rsidR="00C50EA3" w:rsidRPr="00572B56">
              <w:rPr>
                <w:rFonts w:ascii="Times New Roman" w:hAnsi="Times New Roman" w:cs="Times New Roman"/>
                <w:sz w:val="24"/>
              </w:rPr>
              <w:t>.</w:t>
            </w:r>
          </w:p>
        </w:tc>
      </w:tr>
      <w:tr w:rsidR="00844BD2" w:rsidRPr="008C684F" w14:paraId="0C8A3DED" w14:textId="77777777" w:rsidTr="003B0BBB">
        <w:trPr>
          <w:trHeight w:val="567"/>
        </w:trPr>
        <w:tc>
          <w:tcPr>
            <w:tcW w:w="10391" w:type="dxa"/>
            <w:gridSpan w:val="2"/>
            <w:shd w:val="clear" w:color="auto" w:fill="FBD4B4" w:themeFill="accent6" w:themeFillTint="66"/>
            <w:noWrap/>
            <w:vAlign w:val="center"/>
            <w:hideMark/>
          </w:tcPr>
          <w:p w14:paraId="3590BC08" w14:textId="38E01CC9" w:rsidR="00844BD2" w:rsidRPr="008C684F" w:rsidRDefault="00844BD2" w:rsidP="00844BD2">
            <w:pPr>
              <w:pStyle w:val="Heading1"/>
              <w:spacing w:before="0"/>
              <w:rPr>
                <w:rFonts w:ascii="Times New Roman" w:eastAsia="Times New Roman" w:hAnsi="Times New Roman" w:cs="Times New Roman"/>
                <w:noProof/>
                <w:color w:val="000000"/>
                <w:sz w:val="24"/>
                <w:szCs w:val="24"/>
                <w:lang w:val="sq-AL" w:eastAsia="sq-AL"/>
              </w:rPr>
            </w:pPr>
            <w:bookmarkStart w:id="5" w:name="_Toc37690481"/>
            <w:r w:rsidRPr="008C684F">
              <w:rPr>
                <w:rFonts w:ascii="Times New Roman" w:eastAsia="Times New Roman" w:hAnsi="Times New Roman" w:cs="Times New Roman"/>
                <w:noProof/>
                <w:color w:val="000000" w:themeColor="text1"/>
                <w:sz w:val="24"/>
                <w:szCs w:val="24"/>
                <w:lang w:val="sq-AL" w:eastAsia="sq-AL"/>
              </w:rPr>
              <w:t>6. Institutional mandate</w:t>
            </w:r>
            <w:bookmarkEnd w:id="5"/>
          </w:p>
        </w:tc>
      </w:tr>
      <w:tr w:rsidR="00844BD2" w:rsidRPr="008C684F" w14:paraId="3377DF7C" w14:textId="77777777" w:rsidTr="003B0BBB">
        <w:trPr>
          <w:trHeight w:val="567"/>
        </w:trPr>
        <w:tc>
          <w:tcPr>
            <w:tcW w:w="2320" w:type="dxa"/>
            <w:shd w:val="clear" w:color="auto" w:fill="FFFFCC"/>
            <w:noWrap/>
            <w:vAlign w:val="center"/>
            <w:hideMark/>
          </w:tcPr>
          <w:p w14:paraId="2E76575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14:paraId="08342934" w14:textId="77777777" w:rsidR="001A1082" w:rsidRPr="008C684F" w:rsidRDefault="001A1082" w:rsidP="00C942CF">
            <w:pPr>
              <w:pStyle w:val="TableParagraph"/>
              <w:spacing w:before="240"/>
              <w:ind w:left="101" w:right="86"/>
              <w:jc w:val="both"/>
              <w:rPr>
                <w:sz w:val="24"/>
              </w:rPr>
            </w:pPr>
            <w:r w:rsidRPr="008C684F">
              <w:rPr>
                <w:sz w:val="24"/>
              </w:rPr>
              <w:t>CPI and HICP are calculated based on:</w:t>
            </w:r>
          </w:p>
          <w:p w14:paraId="064EC0C4" w14:textId="2B2D055D" w:rsidR="001A1082" w:rsidRPr="00065D78" w:rsidRDefault="00065D78" w:rsidP="00EE3CE1">
            <w:pPr>
              <w:pStyle w:val="TableParagraph"/>
              <w:numPr>
                <w:ilvl w:val="0"/>
                <w:numId w:val="6"/>
              </w:numPr>
              <w:tabs>
                <w:tab w:val="left" w:pos="827"/>
                <w:tab w:val="left" w:pos="828"/>
              </w:tabs>
              <w:ind w:hanging="361"/>
              <w:rPr>
                <w:rStyle w:val="Hyperlink"/>
                <w:sz w:val="24"/>
              </w:rPr>
            </w:pPr>
            <w:r>
              <w:rPr>
                <w:sz w:val="24"/>
              </w:rPr>
              <w:fldChar w:fldCharType="begin"/>
            </w:r>
            <w:r>
              <w:rPr>
                <w:sz w:val="24"/>
              </w:rPr>
              <w:instrText xml:space="preserve"> HYPERLINK "https://eur-lex.europa.eu/legal-content/EN/TXT/PDF/?uri=CELEX:31995R2494&amp;from=EN" </w:instrText>
            </w:r>
            <w:r>
              <w:rPr>
                <w:sz w:val="24"/>
              </w:rPr>
              <w:fldChar w:fldCharType="separate"/>
            </w:r>
            <w:r w:rsidR="001A1082" w:rsidRPr="00065D78">
              <w:rPr>
                <w:rStyle w:val="Hyperlink"/>
                <w:sz w:val="24"/>
              </w:rPr>
              <w:t>Council Regulation (EC) No 2494/95 of</w:t>
            </w:r>
            <w:r w:rsidR="001A1082" w:rsidRPr="00065D78">
              <w:rPr>
                <w:rStyle w:val="Hyperlink"/>
                <w:spacing w:val="-6"/>
                <w:sz w:val="24"/>
              </w:rPr>
              <w:t xml:space="preserve"> </w:t>
            </w:r>
            <w:r w:rsidR="001A1082" w:rsidRPr="00065D78">
              <w:rPr>
                <w:rStyle w:val="Hyperlink"/>
                <w:sz w:val="24"/>
              </w:rPr>
              <w:t>23,</w:t>
            </w:r>
          </w:p>
          <w:p w14:paraId="1645C352" w14:textId="5CD40ACC" w:rsidR="001A1082" w:rsidRPr="008C684F" w:rsidRDefault="00065D78" w:rsidP="00EE3CE1">
            <w:pPr>
              <w:pStyle w:val="TableParagraph"/>
              <w:numPr>
                <w:ilvl w:val="0"/>
                <w:numId w:val="6"/>
              </w:numPr>
              <w:tabs>
                <w:tab w:val="left" w:pos="827"/>
                <w:tab w:val="left" w:pos="828"/>
              </w:tabs>
              <w:spacing w:line="237" w:lineRule="auto"/>
              <w:ind w:right="667"/>
              <w:rPr>
                <w:sz w:val="24"/>
              </w:rPr>
            </w:pPr>
            <w:r>
              <w:rPr>
                <w:sz w:val="24"/>
              </w:rPr>
              <w:fldChar w:fldCharType="end"/>
            </w:r>
            <w:hyperlink r:id="rId10" w:history="1">
              <w:r w:rsidR="001A1082" w:rsidRPr="00E06220">
                <w:rPr>
                  <w:rStyle w:val="Hyperlink"/>
                  <w:sz w:val="24"/>
                </w:rPr>
                <w:t>Law No.17/2018 on Official Statistics;</w:t>
              </w:r>
            </w:hyperlink>
            <w:r w:rsidR="001A1082" w:rsidRPr="008C684F">
              <w:rPr>
                <w:color w:val="0000FF"/>
                <w:sz w:val="24"/>
                <w:u w:val="single" w:color="0000FF"/>
              </w:rPr>
              <w:t xml:space="preserve"> </w:t>
            </w:r>
          </w:p>
          <w:p w14:paraId="0D62E966" w14:textId="50C002E5" w:rsidR="001A1082" w:rsidRPr="008C684F" w:rsidRDefault="00410953" w:rsidP="00EE3CE1">
            <w:pPr>
              <w:pStyle w:val="TableParagraph"/>
              <w:numPr>
                <w:ilvl w:val="0"/>
                <w:numId w:val="6"/>
              </w:numPr>
              <w:tabs>
                <w:tab w:val="left" w:pos="828"/>
              </w:tabs>
              <w:spacing w:line="237" w:lineRule="auto"/>
              <w:ind w:right="1513"/>
              <w:jc w:val="both"/>
              <w:rPr>
                <w:sz w:val="24"/>
              </w:rPr>
            </w:pPr>
            <w:hyperlink r:id="rId11" w:history="1">
              <w:r w:rsidR="001A1082" w:rsidRPr="00E06220">
                <w:rPr>
                  <w:rStyle w:val="Hyperlink"/>
                  <w:sz w:val="24"/>
                </w:rPr>
                <w:t>Official Statistics National Program 2017-2021:</w:t>
              </w:r>
            </w:hyperlink>
            <w:r w:rsidR="001A1082" w:rsidRPr="008C684F">
              <w:rPr>
                <w:color w:val="0000FF"/>
                <w:sz w:val="24"/>
                <w:u w:val="single" w:color="0000FF"/>
              </w:rPr>
              <w:t xml:space="preserve"> </w:t>
            </w:r>
          </w:p>
          <w:p w14:paraId="26A0A1E8" w14:textId="77777777" w:rsidR="001A1082" w:rsidRPr="008C684F" w:rsidRDefault="001A1082" w:rsidP="00E06220">
            <w:pPr>
              <w:pStyle w:val="TableParagraph"/>
              <w:rPr>
                <w:sz w:val="24"/>
              </w:rPr>
            </w:pPr>
          </w:p>
          <w:p w14:paraId="6C401DC1" w14:textId="7177E9D9" w:rsidR="001A1082" w:rsidRPr="008C684F" w:rsidRDefault="00C942CF" w:rsidP="00E06220">
            <w:pPr>
              <w:pStyle w:val="TableParagraph"/>
              <w:tabs>
                <w:tab w:val="left" w:pos="2196"/>
                <w:tab w:val="left" w:pos="3549"/>
                <w:tab w:val="left" w:pos="4799"/>
                <w:tab w:val="left" w:pos="6380"/>
              </w:tabs>
              <w:spacing w:after="240"/>
              <w:ind w:left="101" w:right="86"/>
              <w:jc w:val="both"/>
              <w:rPr>
                <w:sz w:val="24"/>
              </w:rPr>
            </w:pPr>
            <w:r w:rsidRPr="008C684F">
              <w:rPr>
                <w:sz w:val="24"/>
              </w:rPr>
              <w:t>Harmonized</w:t>
            </w:r>
            <w:r w:rsidR="001A1082" w:rsidRPr="008C684F">
              <w:rPr>
                <w:sz w:val="24"/>
              </w:rPr>
              <w:t xml:space="preserve"> Indices of Consumer Prices are </w:t>
            </w:r>
            <w:r w:rsidRPr="008C684F">
              <w:rPr>
                <w:sz w:val="24"/>
              </w:rPr>
              <w:t>harmonized</w:t>
            </w:r>
            <w:r w:rsidR="001A1082" w:rsidRPr="008C684F">
              <w:rPr>
                <w:sz w:val="24"/>
              </w:rPr>
              <w:t xml:space="preserve"> inflation figures </w:t>
            </w:r>
            <w:r w:rsidR="001A1082" w:rsidRPr="008C684F">
              <w:rPr>
                <w:sz w:val="24"/>
              </w:rPr>
              <w:lastRenderedPageBreak/>
              <w:t xml:space="preserve">required under the Treaty on the Functioning of the European Union. Council Regulation (EC) No 2494/95 of 23 October 1995 (OJ L 257/1) sets the legal basis for establishing a </w:t>
            </w:r>
            <w:r w:rsidRPr="008C684F">
              <w:rPr>
                <w:sz w:val="24"/>
              </w:rPr>
              <w:t>harmonized</w:t>
            </w:r>
            <w:r w:rsidR="001A1082" w:rsidRPr="008C684F">
              <w:rPr>
                <w:sz w:val="24"/>
              </w:rPr>
              <w:t xml:space="preserve"> methodology for the compilation of the HICPs, the MUICP and the EICP. Under this Regulation, the Commission has brought forward detailed Regulations establishing the specific rules governing the production of </w:t>
            </w:r>
            <w:r w:rsidRPr="008C684F">
              <w:rPr>
                <w:sz w:val="24"/>
              </w:rPr>
              <w:t>harmonized</w:t>
            </w:r>
            <w:r w:rsidR="001A1082" w:rsidRPr="008C684F">
              <w:rPr>
                <w:sz w:val="24"/>
              </w:rPr>
              <w:t xml:space="preserve"> indices. All recommendations and regulations</w:t>
            </w:r>
            <w:r w:rsidR="007B5824" w:rsidRPr="008C684F">
              <w:rPr>
                <w:sz w:val="24"/>
              </w:rPr>
              <w:t xml:space="preserve"> </w:t>
            </w:r>
            <w:r w:rsidR="001A1082" w:rsidRPr="008C684F">
              <w:rPr>
                <w:sz w:val="24"/>
              </w:rPr>
              <w:t>can</w:t>
            </w:r>
            <w:r w:rsidR="007B5824" w:rsidRPr="008C684F">
              <w:rPr>
                <w:sz w:val="24"/>
              </w:rPr>
              <w:t xml:space="preserve"> </w:t>
            </w:r>
            <w:r w:rsidR="001A1082" w:rsidRPr="008C684F">
              <w:rPr>
                <w:sz w:val="24"/>
              </w:rPr>
              <w:t>be</w:t>
            </w:r>
            <w:r w:rsidR="007B5824" w:rsidRPr="008C684F">
              <w:rPr>
                <w:sz w:val="24"/>
              </w:rPr>
              <w:t xml:space="preserve"> </w:t>
            </w:r>
            <w:r w:rsidR="001A1082" w:rsidRPr="008C684F">
              <w:rPr>
                <w:sz w:val="24"/>
              </w:rPr>
              <w:t>found</w:t>
            </w:r>
            <w:r w:rsidR="007B5824" w:rsidRPr="008C684F">
              <w:rPr>
                <w:sz w:val="24"/>
              </w:rPr>
              <w:t xml:space="preserve"> </w:t>
            </w:r>
            <w:r w:rsidR="001A1082" w:rsidRPr="008C684F">
              <w:rPr>
                <w:spacing w:val="-4"/>
                <w:sz w:val="24"/>
              </w:rPr>
              <w:t>here:</w:t>
            </w:r>
            <w:r w:rsidR="00E06220">
              <w:rPr>
                <w:spacing w:val="-4"/>
                <w:sz w:val="24"/>
              </w:rPr>
              <w:t xml:space="preserve"> </w:t>
            </w:r>
            <w:hyperlink r:id="rId12" w:history="1">
              <w:r w:rsidR="00E06220" w:rsidRPr="00E06220">
                <w:rPr>
                  <w:rStyle w:val="Hyperlink"/>
                  <w:spacing w:val="-4"/>
                  <w:sz w:val="24"/>
                </w:rPr>
                <w:t>Legislation</w:t>
              </w:r>
            </w:hyperlink>
            <w:r w:rsidR="00E06220" w:rsidRPr="008C684F">
              <w:rPr>
                <w:sz w:val="24"/>
              </w:rPr>
              <w:t xml:space="preserve"> </w:t>
            </w:r>
          </w:p>
          <w:p w14:paraId="756B6112" w14:textId="1FFA6DE8" w:rsidR="00844BD2" w:rsidRPr="008C684F" w:rsidRDefault="001A1082" w:rsidP="002400B2">
            <w:pPr>
              <w:pStyle w:val="TableParagraph"/>
              <w:tabs>
                <w:tab w:val="left" w:pos="670"/>
              </w:tabs>
              <w:spacing w:before="240" w:after="240"/>
              <w:ind w:left="101" w:right="86"/>
              <w:jc w:val="both"/>
              <w:rPr>
                <w:sz w:val="24"/>
              </w:rPr>
            </w:pPr>
            <w:r w:rsidRPr="008C684F">
              <w:rPr>
                <w:sz w:val="24"/>
              </w:rPr>
              <w:t>CPIs despite methodological changes used by countries, they are official measure of inflation and they are used for internal usage. CPI in Albania is calculated based considerable number of HICP regulations, thus ensuring a high compatibility between indices.</w:t>
            </w:r>
          </w:p>
        </w:tc>
      </w:tr>
      <w:tr w:rsidR="00844BD2" w:rsidRPr="008C684F" w14:paraId="75B68C25" w14:textId="77777777" w:rsidTr="003B0BBB">
        <w:trPr>
          <w:trHeight w:val="567"/>
        </w:trPr>
        <w:tc>
          <w:tcPr>
            <w:tcW w:w="2320" w:type="dxa"/>
            <w:shd w:val="clear" w:color="auto" w:fill="FFFFCC"/>
            <w:noWrap/>
            <w:vAlign w:val="center"/>
            <w:hideMark/>
          </w:tcPr>
          <w:p w14:paraId="18C559E9"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6.2. Data sharing</w:t>
            </w:r>
          </w:p>
        </w:tc>
        <w:tc>
          <w:tcPr>
            <w:tcW w:w="8071" w:type="dxa"/>
            <w:shd w:val="clear" w:color="auto" w:fill="auto"/>
            <w:noWrap/>
            <w:vAlign w:val="center"/>
          </w:tcPr>
          <w:p w14:paraId="1D483218" w14:textId="594E8ABB" w:rsidR="00844BD2" w:rsidRPr="008C684F" w:rsidRDefault="007B5824" w:rsidP="00844BD2">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 data are sent to EUROSTAT every year.</w:t>
            </w:r>
            <w:r w:rsidR="00662F9B">
              <w:rPr>
                <w:rFonts w:ascii="Times New Roman" w:hAnsi="Times New Roman" w:cs="Times New Roman"/>
                <w:sz w:val="24"/>
              </w:rPr>
              <w:t xml:space="preserve"> HICP data are sent to EUROSTAT every month.</w:t>
            </w:r>
          </w:p>
        </w:tc>
      </w:tr>
      <w:tr w:rsidR="00844BD2" w:rsidRPr="008C684F" w14:paraId="573F762B" w14:textId="77777777" w:rsidTr="003B0BBB">
        <w:trPr>
          <w:trHeight w:val="665"/>
        </w:trPr>
        <w:tc>
          <w:tcPr>
            <w:tcW w:w="10391" w:type="dxa"/>
            <w:gridSpan w:val="2"/>
            <w:shd w:val="clear" w:color="auto" w:fill="FBD4B4" w:themeFill="accent6" w:themeFillTint="66"/>
            <w:noWrap/>
            <w:vAlign w:val="center"/>
            <w:hideMark/>
          </w:tcPr>
          <w:p w14:paraId="772B67F1" w14:textId="3A954FDC"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37690482"/>
            <w:r w:rsidRPr="008C684F">
              <w:rPr>
                <w:rFonts w:ascii="Times New Roman" w:eastAsia="Times New Roman" w:hAnsi="Times New Roman" w:cs="Times New Roman"/>
                <w:noProof/>
                <w:color w:val="000000" w:themeColor="text1"/>
                <w:sz w:val="24"/>
                <w:szCs w:val="24"/>
                <w:lang w:val="sq-AL" w:eastAsia="sq-AL"/>
              </w:rPr>
              <w:t>7. Confidentiality</w:t>
            </w:r>
            <w:bookmarkEnd w:id="6"/>
          </w:p>
        </w:tc>
      </w:tr>
      <w:tr w:rsidR="00844BD2" w:rsidRPr="008C684F" w14:paraId="2CAD66FA" w14:textId="77777777" w:rsidTr="003B0BBB">
        <w:trPr>
          <w:trHeight w:val="260"/>
        </w:trPr>
        <w:tc>
          <w:tcPr>
            <w:tcW w:w="2320" w:type="dxa"/>
            <w:shd w:val="clear" w:color="auto" w:fill="FFFFCC"/>
            <w:noWrap/>
            <w:vAlign w:val="center"/>
            <w:hideMark/>
          </w:tcPr>
          <w:p w14:paraId="38A545EF"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14:paraId="3778B465" w14:textId="79D33AA7" w:rsidR="00844BD2" w:rsidRPr="008C684F" w:rsidRDefault="007B5824" w:rsidP="002400B2">
            <w:pPr>
              <w:pStyle w:val="TableParagraph"/>
              <w:spacing w:before="240" w:after="240"/>
              <w:ind w:left="101" w:right="86"/>
              <w:jc w:val="both"/>
              <w:rPr>
                <w:sz w:val="24"/>
              </w:rPr>
            </w:pPr>
            <w:r w:rsidRPr="008C684F">
              <w:rPr>
                <w:sz w:val="24"/>
              </w:rPr>
              <w:t>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on Official Statistics clearly define that all statistical information collected by INSTAT are confidential and may only be used or published in such summary tables that do</w:t>
            </w:r>
            <w:r w:rsidRPr="008C684F">
              <w:rPr>
                <w:spacing w:val="-20"/>
                <w:sz w:val="24"/>
              </w:rPr>
              <w:t xml:space="preserve"> </w:t>
            </w:r>
            <w:r w:rsidRPr="008C684F">
              <w:rPr>
                <w:sz w:val="24"/>
              </w:rPr>
              <w:t>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w:t>
            </w:r>
            <w:r w:rsidRPr="008C684F">
              <w:rPr>
                <w:spacing w:val="-13"/>
                <w:sz w:val="24"/>
              </w:rPr>
              <w:t xml:space="preserve"> </w:t>
            </w:r>
            <w:r w:rsidRPr="008C684F">
              <w:rPr>
                <w:sz w:val="24"/>
              </w:rPr>
              <w:t>entities are no longer recognized.</w:t>
            </w:r>
          </w:p>
        </w:tc>
      </w:tr>
      <w:tr w:rsidR="00844BD2" w:rsidRPr="008C684F" w14:paraId="46D082CF" w14:textId="77777777" w:rsidTr="003B0BBB">
        <w:trPr>
          <w:trHeight w:val="719"/>
        </w:trPr>
        <w:tc>
          <w:tcPr>
            <w:tcW w:w="2320" w:type="dxa"/>
            <w:shd w:val="clear" w:color="auto" w:fill="FFFFCC"/>
            <w:noWrap/>
            <w:vAlign w:val="center"/>
            <w:hideMark/>
          </w:tcPr>
          <w:p w14:paraId="135447F6"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7.2. Confidentiality - data treatment</w:t>
            </w:r>
          </w:p>
        </w:tc>
        <w:tc>
          <w:tcPr>
            <w:tcW w:w="8071" w:type="dxa"/>
            <w:shd w:val="clear" w:color="auto" w:fill="auto"/>
            <w:vAlign w:val="center"/>
          </w:tcPr>
          <w:p w14:paraId="038CACDE" w14:textId="4A2F6CF5" w:rsidR="00844BD2" w:rsidRPr="00C942CF" w:rsidRDefault="007B5824" w:rsidP="00C942CF">
            <w:pPr>
              <w:pStyle w:val="NoSpacing"/>
              <w:spacing w:before="240" w:after="240"/>
              <w:ind w:left="101" w:right="86"/>
              <w:jc w:val="both"/>
              <w:rPr>
                <w:rFonts w:ascii="Times New Roman" w:eastAsia="Times New Roman" w:hAnsi="Times New Roman" w:cs="Times New Roman"/>
                <w:noProof/>
                <w:color w:val="000000"/>
                <w:sz w:val="24"/>
                <w:szCs w:val="24"/>
                <w:lang w:val="sq-AL" w:eastAsia="sq-AL"/>
              </w:rPr>
            </w:pPr>
            <w:r w:rsidRPr="00C942CF">
              <w:rPr>
                <w:rFonts w:ascii="Times New Roman" w:hAnsi="Times New Roman" w:cs="Times New Roman"/>
                <w:sz w:val="24"/>
                <w:szCs w:val="24"/>
              </w:rPr>
              <w:t>CPI/HICP data is represented in index or percentage from (rates) and is therefore not treated for confidentiality.</w:t>
            </w:r>
          </w:p>
        </w:tc>
      </w:tr>
      <w:tr w:rsidR="00844BD2" w:rsidRPr="008C684F" w14:paraId="07046C93" w14:textId="77777777" w:rsidTr="003B0BBB">
        <w:trPr>
          <w:trHeight w:val="567"/>
        </w:trPr>
        <w:tc>
          <w:tcPr>
            <w:tcW w:w="10391" w:type="dxa"/>
            <w:gridSpan w:val="2"/>
            <w:shd w:val="clear" w:color="auto" w:fill="FBD4B4" w:themeFill="accent6" w:themeFillTint="66"/>
            <w:noWrap/>
            <w:vAlign w:val="center"/>
            <w:hideMark/>
          </w:tcPr>
          <w:p w14:paraId="483727F3" w14:textId="6670F1EA"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37690483"/>
            <w:r w:rsidRPr="008C684F">
              <w:rPr>
                <w:rFonts w:ascii="Times New Roman" w:eastAsia="Times New Roman" w:hAnsi="Times New Roman" w:cs="Times New Roman"/>
                <w:noProof/>
                <w:color w:val="000000" w:themeColor="text1"/>
                <w:sz w:val="24"/>
                <w:szCs w:val="24"/>
                <w:lang w:val="sq-AL" w:eastAsia="sq-AL"/>
              </w:rPr>
              <w:t>8. Release policy</w:t>
            </w:r>
            <w:bookmarkEnd w:id="7"/>
          </w:p>
        </w:tc>
      </w:tr>
      <w:tr w:rsidR="007B5824" w:rsidRPr="008C684F" w14:paraId="7DAA304A" w14:textId="77777777" w:rsidTr="003B0BBB">
        <w:trPr>
          <w:trHeight w:val="562"/>
        </w:trPr>
        <w:tc>
          <w:tcPr>
            <w:tcW w:w="2320" w:type="dxa"/>
            <w:shd w:val="clear" w:color="auto" w:fill="FFFFCC"/>
            <w:noWrap/>
            <w:vAlign w:val="center"/>
            <w:hideMark/>
          </w:tcPr>
          <w:p w14:paraId="4FC5E7F7"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tcPr>
          <w:p w14:paraId="7660E125" w14:textId="6AC77B02" w:rsidR="007B5824" w:rsidRPr="00C942CF" w:rsidRDefault="00451C4E" w:rsidP="00C942CF">
            <w:pPr>
              <w:pStyle w:val="NoSpacing"/>
              <w:spacing w:before="240" w:after="240"/>
              <w:ind w:left="101" w:right="86"/>
              <w:jc w:val="both"/>
              <w:rPr>
                <w:rFonts w:ascii="Times New Roman" w:hAnsi="Times New Roman" w:cs="Times New Roman"/>
                <w:sz w:val="24"/>
                <w:szCs w:val="24"/>
              </w:rPr>
            </w:pPr>
            <w:r w:rsidRPr="00451C4E">
              <w:rPr>
                <w:rFonts w:ascii="Times New Roman" w:hAnsi="Times New Roman" w:cs="Times New Roman"/>
                <w:sz w:val="24"/>
                <w:szCs w:val="24"/>
              </w:rPr>
              <w:t>Announcements regarding the distribution of statistics published in the publication calendar, which is jointly available. Notifications and delays pre-announced in this calendar. In the case of delays, the details of the forthcoming publication shall be specified as well as their explanation with the justification of the delays.</w:t>
            </w:r>
          </w:p>
        </w:tc>
      </w:tr>
      <w:tr w:rsidR="007B5824" w:rsidRPr="008C684F" w14:paraId="1BEE7094" w14:textId="77777777" w:rsidTr="003B0BBB">
        <w:trPr>
          <w:trHeight w:val="562"/>
        </w:trPr>
        <w:tc>
          <w:tcPr>
            <w:tcW w:w="2320" w:type="dxa"/>
            <w:shd w:val="clear" w:color="auto" w:fill="FFFFCC"/>
            <w:noWrap/>
            <w:vAlign w:val="center"/>
            <w:hideMark/>
          </w:tcPr>
          <w:p w14:paraId="050B7DCC"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tcPr>
          <w:p w14:paraId="24E5B8C7" w14:textId="5E574105" w:rsidR="007B5824" w:rsidRPr="004554E3" w:rsidRDefault="007B5824" w:rsidP="004554E3">
            <w:pPr>
              <w:pStyle w:val="TableParagraph"/>
              <w:spacing w:before="240" w:after="240"/>
              <w:ind w:left="101" w:right="86"/>
              <w:jc w:val="both"/>
              <w:rPr>
                <w:sz w:val="24"/>
              </w:rPr>
            </w:pPr>
            <w:r w:rsidRPr="008C684F">
              <w:rPr>
                <w:sz w:val="24"/>
              </w:rPr>
              <w:t>Access to the release calendar is granted through the following link:</w:t>
            </w:r>
            <w:r w:rsidR="004554E3">
              <w:rPr>
                <w:sz w:val="24"/>
              </w:rPr>
              <w:t xml:space="preserve"> </w:t>
            </w:r>
            <w:hyperlink r:id="rId13" w:history="1">
              <w:r w:rsidR="004554E3" w:rsidRPr="004554E3">
                <w:rPr>
                  <w:rStyle w:val="Hyperlink"/>
                  <w:sz w:val="24"/>
                </w:rPr>
                <w:t>Calendar</w:t>
              </w:r>
            </w:hyperlink>
          </w:p>
        </w:tc>
      </w:tr>
      <w:tr w:rsidR="007B5824" w:rsidRPr="008C684F" w14:paraId="3B4C3545" w14:textId="77777777" w:rsidTr="003B0BBB">
        <w:trPr>
          <w:trHeight w:val="562"/>
        </w:trPr>
        <w:tc>
          <w:tcPr>
            <w:tcW w:w="2320" w:type="dxa"/>
            <w:shd w:val="clear" w:color="auto" w:fill="FFFFCC"/>
            <w:noWrap/>
            <w:vAlign w:val="center"/>
            <w:hideMark/>
          </w:tcPr>
          <w:p w14:paraId="25619FC8"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tcPr>
          <w:p w14:paraId="02BFA2AE" w14:textId="6C28AD6B" w:rsidR="008C3F18" w:rsidRDefault="007B5824" w:rsidP="00A5575E">
            <w:pPr>
              <w:pStyle w:val="TableParagraph"/>
              <w:spacing w:before="240"/>
              <w:ind w:left="101" w:right="86"/>
              <w:jc w:val="both"/>
              <w:rPr>
                <w:sz w:val="24"/>
              </w:rPr>
            </w:pPr>
            <w:r w:rsidRPr="008C684F">
              <w:rPr>
                <w:sz w:val="24"/>
              </w:rPr>
              <w:t xml:space="preserve">In line with the article 34 of Law No.17/2018 “On Official Statistics”, INSTAT disseminates statistics on INSTSAT website and other media for simultaneous access, respecting professional independence and in an objective, professional </w:t>
            </w:r>
            <w:r w:rsidRPr="008C684F">
              <w:rPr>
                <w:sz w:val="24"/>
              </w:rPr>
              <w:lastRenderedPageBreak/>
              <w:t>and transparent manner in which all users are treated</w:t>
            </w:r>
            <w:r w:rsidRPr="008C684F">
              <w:rPr>
                <w:spacing w:val="-6"/>
                <w:sz w:val="24"/>
              </w:rPr>
              <w:t xml:space="preserve"> </w:t>
            </w:r>
            <w:r w:rsidRPr="008C684F">
              <w:rPr>
                <w:sz w:val="24"/>
              </w:rPr>
              <w:t>equitably.</w:t>
            </w:r>
            <w:r w:rsidR="00A5575E">
              <w:rPr>
                <w:sz w:val="24"/>
              </w:rPr>
              <w:t xml:space="preserve"> </w:t>
            </w:r>
            <w:r w:rsidRPr="008C684F">
              <w:rPr>
                <w:sz w:val="24"/>
              </w:rPr>
              <w:t>The following dissemination channels are used to release the results of CPI/HICP:</w:t>
            </w:r>
          </w:p>
          <w:p w14:paraId="75F3BAE6" w14:textId="77777777" w:rsidR="008C3F18" w:rsidRPr="008C3F18" w:rsidRDefault="007B5824" w:rsidP="00EE3CE1">
            <w:pPr>
              <w:pStyle w:val="TableParagraph"/>
              <w:numPr>
                <w:ilvl w:val="0"/>
                <w:numId w:val="18"/>
              </w:numPr>
              <w:ind w:right="86"/>
              <w:jc w:val="both"/>
              <w:rPr>
                <w:sz w:val="24"/>
                <w:szCs w:val="24"/>
              </w:rPr>
            </w:pPr>
            <w:r w:rsidRPr="008C3F18">
              <w:rPr>
                <w:sz w:val="24"/>
                <w:szCs w:val="24"/>
              </w:rPr>
              <w:t>Website - online release,</w:t>
            </w:r>
            <w:r w:rsidR="00A0153F" w:rsidRPr="008C3F18">
              <w:rPr>
                <w:color w:val="000000"/>
                <w:sz w:val="24"/>
                <w:szCs w:val="24"/>
              </w:rPr>
              <w:t xml:space="preserve"> </w:t>
            </w:r>
          </w:p>
          <w:p w14:paraId="6134E9FF" w14:textId="77777777" w:rsidR="008C3F18" w:rsidRPr="008C3F18" w:rsidRDefault="007B5824" w:rsidP="00EE3CE1">
            <w:pPr>
              <w:pStyle w:val="TableParagraph"/>
              <w:numPr>
                <w:ilvl w:val="0"/>
                <w:numId w:val="18"/>
              </w:numPr>
              <w:ind w:right="86"/>
              <w:jc w:val="both"/>
              <w:rPr>
                <w:sz w:val="24"/>
                <w:szCs w:val="24"/>
              </w:rPr>
            </w:pPr>
            <w:r w:rsidRPr="008C3F18">
              <w:rPr>
                <w:sz w:val="24"/>
                <w:szCs w:val="24"/>
              </w:rPr>
              <w:t>Written</w:t>
            </w:r>
            <w:r w:rsidRPr="008C3F18">
              <w:rPr>
                <w:spacing w:val="-2"/>
                <w:sz w:val="24"/>
                <w:szCs w:val="24"/>
              </w:rPr>
              <w:t xml:space="preserve"> </w:t>
            </w:r>
            <w:r w:rsidRPr="008C3F18">
              <w:rPr>
                <w:sz w:val="24"/>
                <w:szCs w:val="24"/>
              </w:rPr>
              <w:t>requests,</w:t>
            </w:r>
            <w:r w:rsidR="00A0153F" w:rsidRPr="008C3F18">
              <w:rPr>
                <w:color w:val="000000"/>
                <w:sz w:val="24"/>
                <w:szCs w:val="24"/>
              </w:rPr>
              <w:t xml:space="preserve"> (by mail or </w:t>
            </w:r>
            <w:hyperlink r:id="rId14" w:history="1">
              <w:r w:rsidR="00A0153F" w:rsidRPr="008C3F18">
                <w:rPr>
                  <w:rStyle w:val="Hyperlink"/>
                  <w:rFonts w:eastAsiaTheme="majorEastAsia"/>
                  <w:sz w:val="24"/>
                  <w:szCs w:val="24"/>
                </w:rPr>
                <w:t>email</w:t>
              </w:r>
            </w:hyperlink>
            <w:r w:rsidR="00A0153F" w:rsidRPr="008C3F18">
              <w:rPr>
                <w:color w:val="000000"/>
                <w:sz w:val="24"/>
                <w:szCs w:val="24"/>
              </w:rPr>
              <w:t>);</w:t>
            </w:r>
          </w:p>
          <w:p w14:paraId="75595CE5" w14:textId="77777777" w:rsidR="008C3F18" w:rsidRPr="008C3F18" w:rsidRDefault="007B5824" w:rsidP="00EE3CE1">
            <w:pPr>
              <w:pStyle w:val="TableParagraph"/>
              <w:numPr>
                <w:ilvl w:val="0"/>
                <w:numId w:val="18"/>
              </w:numPr>
              <w:ind w:right="86"/>
              <w:jc w:val="both"/>
              <w:rPr>
                <w:sz w:val="24"/>
                <w:szCs w:val="24"/>
              </w:rPr>
            </w:pPr>
            <w:r w:rsidRPr="008C3F18">
              <w:rPr>
                <w:sz w:val="24"/>
                <w:szCs w:val="24"/>
              </w:rPr>
              <w:t>Special</w:t>
            </w:r>
            <w:r w:rsidRPr="008C3F18">
              <w:rPr>
                <w:spacing w:val="-1"/>
                <w:sz w:val="24"/>
                <w:szCs w:val="24"/>
              </w:rPr>
              <w:t xml:space="preserve"> </w:t>
            </w:r>
            <w:r w:rsidRPr="008C3F18">
              <w:rPr>
                <w:sz w:val="24"/>
                <w:szCs w:val="24"/>
              </w:rPr>
              <w:t>publications,</w:t>
            </w:r>
          </w:p>
          <w:p w14:paraId="72FBA740" w14:textId="2509F561" w:rsidR="007B5824" w:rsidRPr="00A5575E" w:rsidRDefault="00410953" w:rsidP="003B0BBB">
            <w:pPr>
              <w:pStyle w:val="TableParagraph"/>
              <w:numPr>
                <w:ilvl w:val="0"/>
                <w:numId w:val="18"/>
              </w:numPr>
              <w:spacing w:after="240"/>
              <w:ind w:right="86"/>
              <w:jc w:val="both"/>
              <w:rPr>
                <w:sz w:val="24"/>
                <w:szCs w:val="24"/>
              </w:rPr>
            </w:pPr>
            <w:hyperlink r:id="rId15" w:history="1">
              <w:r w:rsidR="007B5824" w:rsidRPr="008C3F18">
                <w:rPr>
                  <w:rStyle w:val="Hyperlink"/>
                  <w:sz w:val="24"/>
                  <w:szCs w:val="24"/>
                </w:rPr>
                <w:t>Data request</w:t>
              </w:r>
            </w:hyperlink>
            <w:r w:rsidR="007B5824" w:rsidRPr="008C3F18">
              <w:rPr>
                <w:sz w:val="24"/>
                <w:szCs w:val="24"/>
              </w:rPr>
              <w:t>, session available for external users</w:t>
            </w:r>
            <w:r w:rsidR="00A5575E">
              <w:rPr>
                <w:sz w:val="24"/>
                <w:szCs w:val="24"/>
              </w:rPr>
              <w:t>.</w:t>
            </w:r>
          </w:p>
        </w:tc>
      </w:tr>
      <w:tr w:rsidR="007B5824" w:rsidRPr="008C684F" w14:paraId="422B009D" w14:textId="77777777" w:rsidTr="003B0BBB">
        <w:trPr>
          <w:trHeight w:val="562"/>
        </w:trPr>
        <w:tc>
          <w:tcPr>
            <w:tcW w:w="2320" w:type="dxa"/>
            <w:shd w:val="clear" w:color="auto" w:fill="FBD4B4" w:themeFill="accent6" w:themeFillTint="66"/>
            <w:noWrap/>
            <w:vAlign w:val="center"/>
            <w:hideMark/>
          </w:tcPr>
          <w:p w14:paraId="75A45B93" w14:textId="2A4838DE" w:rsidR="007B5824" w:rsidRPr="008C684F" w:rsidRDefault="007B5824" w:rsidP="007B5824">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37690484"/>
            <w:r w:rsidRPr="008C684F">
              <w:rPr>
                <w:rFonts w:ascii="Times New Roman" w:eastAsia="Times New Roman" w:hAnsi="Times New Roman" w:cs="Times New Roman"/>
                <w:noProof/>
                <w:color w:val="000000" w:themeColor="text1"/>
                <w:sz w:val="24"/>
                <w:szCs w:val="24"/>
                <w:lang w:val="sq-AL" w:eastAsia="sq-AL"/>
              </w:rPr>
              <w:lastRenderedPageBreak/>
              <w:t>9. Frequency of dissemination</w:t>
            </w:r>
            <w:bookmarkEnd w:id="8"/>
          </w:p>
        </w:tc>
        <w:tc>
          <w:tcPr>
            <w:tcW w:w="8071" w:type="dxa"/>
            <w:shd w:val="clear" w:color="auto" w:fill="auto"/>
            <w:noWrap/>
          </w:tcPr>
          <w:p w14:paraId="3D5A097E" w14:textId="0F7A2A82" w:rsidR="007B5824" w:rsidRPr="008C684F" w:rsidRDefault="007B5824" w:rsidP="007B582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 and HICP are produced on monthly basis.</w:t>
            </w:r>
          </w:p>
        </w:tc>
      </w:tr>
      <w:tr w:rsidR="007B5824" w:rsidRPr="008C684F" w14:paraId="0F2EF126" w14:textId="77777777" w:rsidTr="003B0BBB">
        <w:trPr>
          <w:trHeight w:val="562"/>
        </w:trPr>
        <w:tc>
          <w:tcPr>
            <w:tcW w:w="10391" w:type="dxa"/>
            <w:gridSpan w:val="2"/>
            <w:shd w:val="clear" w:color="auto" w:fill="FBD4B4" w:themeFill="accent6" w:themeFillTint="66"/>
            <w:noWrap/>
            <w:vAlign w:val="center"/>
            <w:hideMark/>
          </w:tcPr>
          <w:p w14:paraId="06C358B6" w14:textId="1C1D4EC1" w:rsidR="007B5824" w:rsidRPr="008C684F" w:rsidRDefault="007B5824" w:rsidP="007B5824">
            <w:pPr>
              <w:pStyle w:val="Heading1"/>
              <w:spacing w:before="0"/>
              <w:rPr>
                <w:rFonts w:ascii="Times New Roman" w:eastAsia="Times New Roman" w:hAnsi="Times New Roman" w:cs="Times New Roman"/>
                <w:b w:val="0"/>
                <w:bCs w:val="0"/>
                <w:noProof/>
                <w:sz w:val="24"/>
                <w:szCs w:val="24"/>
                <w:lang w:val="sq-AL" w:eastAsia="sq-AL"/>
              </w:rPr>
            </w:pPr>
            <w:bookmarkStart w:id="9" w:name="_Toc37690485"/>
            <w:r w:rsidRPr="008C684F">
              <w:rPr>
                <w:rFonts w:ascii="Times New Roman" w:eastAsia="Times New Roman" w:hAnsi="Times New Roman" w:cs="Times New Roman"/>
                <w:noProof/>
                <w:color w:val="000000" w:themeColor="text1"/>
                <w:sz w:val="24"/>
                <w:szCs w:val="24"/>
                <w:lang w:val="sq-AL" w:eastAsia="sq-AL"/>
              </w:rPr>
              <w:t>10. Accessibility and clarity</w:t>
            </w:r>
            <w:bookmarkEnd w:id="9"/>
          </w:p>
        </w:tc>
      </w:tr>
      <w:tr w:rsidR="007B5824" w:rsidRPr="008C684F" w14:paraId="7B54D259" w14:textId="77777777" w:rsidTr="003B0BBB">
        <w:trPr>
          <w:trHeight w:val="562"/>
        </w:trPr>
        <w:tc>
          <w:tcPr>
            <w:tcW w:w="2320" w:type="dxa"/>
            <w:shd w:val="clear" w:color="auto" w:fill="FFFFCC"/>
            <w:noWrap/>
            <w:vAlign w:val="center"/>
            <w:hideMark/>
          </w:tcPr>
          <w:p w14:paraId="16E5E6AB"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10.1. News release</w:t>
            </w:r>
          </w:p>
        </w:tc>
        <w:tc>
          <w:tcPr>
            <w:tcW w:w="8071" w:type="dxa"/>
            <w:shd w:val="clear" w:color="auto" w:fill="auto"/>
          </w:tcPr>
          <w:p w14:paraId="0CCEF9E1" w14:textId="1DB7A26C" w:rsidR="007B5824" w:rsidRPr="008C684F" w:rsidRDefault="007B5824" w:rsidP="00C942CF">
            <w:pPr>
              <w:pStyle w:val="TableParagraph"/>
              <w:spacing w:before="240" w:after="240"/>
              <w:ind w:left="101" w:right="86"/>
              <w:jc w:val="both"/>
              <w:rPr>
                <w:noProof/>
                <w:color w:val="000000"/>
                <w:sz w:val="24"/>
                <w:szCs w:val="24"/>
                <w:lang w:val="sq-AL" w:eastAsia="sq-AL"/>
              </w:rPr>
            </w:pPr>
            <w:r w:rsidRPr="008C684F">
              <w:rPr>
                <w:sz w:val="24"/>
              </w:rPr>
              <w:t>CPI/ HICP news release gives information for monthly and yearly</w:t>
            </w:r>
            <w:r w:rsidR="00C942CF">
              <w:rPr>
                <w:sz w:val="24"/>
              </w:rPr>
              <w:t xml:space="preserve"> </w:t>
            </w:r>
            <w:r w:rsidRPr="008C684F">
              <w:rPr>
                <w:sz w:val="24"/>
              </w:rPr>
              <w:t>changes in prices. The format of news releases has not</w:t>
            </w:r>
            <w:r w:rsidR="004554E3">
              <w:rPr>
                <w:sz w:val="24"/>
              </w:rPr>
              <w:t xml:space="preserve"> </w:t>
            </w:r>
            <w:r w:rsidRPr="008C684F">
              <w:rPr>
                <w:sz w:val="24"/>
              </w:rPr>
              <w:t>change</w:t>
            </w:r>
            <w:r w:rsidR="00C928A9">
              <w:rPr>
                <w:sz w:val="24"/>
              </w:rPr>
              <w:t xml:space="preserve">d </w:t>
            </w:r>
            <w:r w:rsidRPr="008C684F">
              <w:rPr>
                <w:sz w:val="24"/>
              </w:rPr>
              <w:t>and the template was prepared from dissemination sector, which detects</w:t>
            </w:r>
            <w:r w:rsidR="00C942CF">
              <w:rPr>
                <w:sz w:val="24"/>
              </w:rPr>
              <w:t xml:space="preserve"> </w:t>
            </w:r>
            <w:r w:rsidRPr="008C684F">
              <w:rPr>
                <w:sz w:val="24"/>
              </w:rPr>
              <w:t>also the publication date. The CPI/HICP news releases are published online in INSTAT web page.</w:t>
            </w:r>
          </w:p>
        </w:tc>
      </w:tr>
      <w:tr w:rsidR="007B5824" w:rsidRPr="008C684F" w14:paraId="0D327F0A" w14:textId="77777777" w:rsidTr="003B0BBB">
        <w:trPr>
          <w:trHeight w:val="1277"/>
        </w:trPr>
        <w:tc>
          <w:tcPr>
            <w:tcW w:w="2320" w:type="dxa"/>
            <w:shd w:val="clear" w:color="auto" w:fill="FFFFCC"/>
            <w:noWrap/>
            <w:vAlign w:val="center"/>
            <w:hideMark/>
          </w:tcPr>
          <w:p w14:paraId="0016A795"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tcPr>
          <w:p w14:paraId="3A922132" w14:textId="77777777" w:rsidR="007B5824" w:rsidRPr="008C684F" w:rsidRDefault="007B5824" w:rsidP="00C928A9">
            <w:pPr>
              <w:pStyle w:val="TableParagraph"/>
              <w:spacing w:before="240"/>
              <w:ind w:left="101" w:right="86"/>
              <w:jc w:val="both"/>
              <w:rPr>
                <w:sz w:val="24"/>
              </w:rPr>
            </w:pPr>
            <w:r w:rsidRPr="008C684F">
              <w:rPr>
                <w:sz w:val="24"/>
              </w:rPr>
              <w:t>All data are published in INSTAT website:</w:t>
            </w:r>
          </w:p>
          <w:p w14:paraId="027F4AD9" w14:textId="77777777" w:rsidR="004554E3" w:rsidRDefault="00410953" w:rsidP="00EE3CE1">
            <w:pPr>
              <w:pStyle w:val="TableParagraph"/>
              <w:numPr>
                <w:ilvl w:val="0"/>
                <w:numId w:val="8"/>
              </w:numPr>
              <w:tabs>
                <w:tab w:val="left" w:pos="894"/>
                <w:tab w:val="left" w:pos="895"/>
              </w:tabs>
              <w:spacing w:before="2"/>
              <w:rPr>
                <w:color w:val="0000FF"/>
                <w:sz w:val="24"/>
                <w:szCs w:val="24"/>
                <w:u w:val="single"/>
              </w:rPr>
            </w:pPr>
            <w:hyperlink r:id="rId16" w:history="1">
              <w:r w:rsidR="007B5824" w:rsidRPr="004554E3">
                <w:rPr>
                  <w:rStyle w:val="Hyperlink"/>
                  <w:sz w:val="24"/>
                </w:rPr>
                <w:t>Prices</w:t>
              </w:r>
            </w:hyperlink>
          </w:p>
          <w:p w14:paraId="0027AD5D" w14:textId="012D9CC7" w:rsidR="007B5824" w:rsidRPr="004554E3" w:rsidRDefault="00410953" w:rsidP="00EE3CE1">
            <w:pPr>
              <w:pStyle w:val="TableParagraph"/>
              <w:numPr>
                <w:ilvl w:val="0"/>
                <w:numId w:val="8"/>
              </w:numPr>
              <w:tabs>
                <w:tab w:val="left" w:pos="894"/>
                <w:tab w:val="left" w:pos="895"/>
              </w:tabs>
              <w:spacing w:before="2"/>
              <w:rPr>
                <w:color w:val="0000FF"/>
                <w:sz w:val="24"/>
                <w:szCs w:val="24"/>
                <w:u w:val="single"/>
              </w:rPr>
            </w:pPr>
            <w:hyperlink r:id="rId17" w:history="1">
              <w:r w:rsidR="007B5824" w:rsidRPr="004554E3">
                <w:rPr>
                  <w:rStyle w:val="Hyperlink"/>
                  <w:sz w:val="24"/>
                </w:rPr>
                <w:t>Books</w:t>
              </w:r>
            </w:hyperlink>
          </w:p>
        </w:tc>
      </w:tr>
      <w:tr w:rsidR="007B5824" w:rsidRPr="008C684F" w14:paraId="13B12BEC" w14:textId="77777777" w:rsidTr="003B0BBB">
        <w:trPr>
          <w:trHeight w:val="567"/>
        </w:trPr>
        <w:tc>
          <w:tcPr>
            <w:tcW w:w="2320" w:type="dxa"/>
            <w:shd w:val="clear" w:color="auto" w:fill="FFFFCC"/>
            <w:noWrap/>
            <w:vAlign w:val="center"/>
            <w:hideMark/>
          </w:tcPr>
          <w:p w14:paraId="654050E1"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10.3. On-line database</w:t>
            </w:r>
          </w:p>
        </w:tc>
        <w:tc>
          <w:tcPr>
            <w:tcW w:w="8071" w:type="dxa"/>
            <w:shd w:val="clear" w:color="auto" w:fill="auto"/>
          </w:tcPr>
          <w:p w14:paraId="6F6BBFFC" w14:textId="39AE3F85" w:rsidR="007B5824" w:rsidRPr="004554E3" w:rsidRDefault="007B5824" w:rsidP="004554E3">
            <w:pPr>
              <w:pStyle w:val="TableParagraph"/>
              <w:spacing w:before="240" w:after="240"/>
              <w:ind w:left="101" w:right="86"/>
              <w:jc w:val="both"/>
              <w:rPr>
                <w:sz w:val="24"/>
              </w:rPr>
            </w:pPr>
            <w:r w:rsidRPr="008C684F">
              <w:rPr>
                <w:sz w:val="24"/>
              </w:rPr>
              <w:t>The database can be accessed in the following link:</w:t>
            </w:r>
            <w:r w:rsidR="004554E3">
              <w:rPr>
                <w:sz w:val="24"/>
              </w:rPr>
              <w:t xml:space="preserve"> </w:t>
            </w:r>
            <w:hyperlink r:id="rId18" w:history="1">
              <w:r w:rsidR="004554E3" w:rsidRPr="004554E3">
                <w:rPr>
                  <w:rStyle w:val="Hyperlink"/>
                  <w:sz w:val="24"/>
                </w:rPr>
                <w:t>Database</w:t>
              </w:r>
            </w:hyperlink>
          </w:p>
        </w:tc>
      </w:tr>
      <w:tr w:rsidR="007B5824" w:rsidRPr="008C684F" w14:paraId="72BA9B57" w14:textId="77777777" w:rsidTr="003B0BBB">
        <w:trPr>
          <w:trHeight w:val="567"/>
        </w:trPr>
        <w:tc>
          <w:tcPr>
            <w:tcW w:w="2320" w:type="dxa"/>
            <w:shd w:val="clear" w:color="auto" w:fill="FFFFCC"/>
            <w:noWrap/>
            <w:vAlign w:val="center"/>
            <w:hideMark/>
          </w:tcPr>
          <w:p w14:paraId="0EEEBC80"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 xml:space="preserve">10.4. Micro – data access </w:t>
            </w:r>
          </w:p>
        </w:tc>
        <w:tc>
          <w:tcPr>
            <w:tcW w:w="8071" w:type="dxa"/>
            <w:shd w:val="clear" w:color="auto" w:fill="auto"/>
            <w:noWrap/>
          </w:tcPr>
          <w:p w14:paraId="77C24414" w14:textId="56A9AA18" w:rsidR="007B5824" w:rsidRPr="008C684F" w:rsidRDefault="007B5824" w:rsidP="007B582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CPI/HICP data are not available in micro data level, as a consequence of preserving confidentiality.</w:t>
            </w:r>
          </w:p>
        </w:tc>
      </w:tr>
      <w:tr w:rsidR="007B5824" w:rsidRPr="008C684F" w14:paraId="443CE57D" w14:textId="77777777" w:rsidTr="003B0BBB">
        <w:trPr>
          <w:trHeight w:val="567"/>
        </w:trPr>
        <w:tc>
          <w:tcPr>
            <w:tcW w:w="2320" w:type="dxa"/>
            <w:shd w:val="clear" w:color="auto" w:fill="FFFFCC"/>
            <w:noWrap/>
            <w:vAlign w:val="center"/>
            <w:hideMark/>
          </w:tcPr>
          <w:p w14:paraId="7BE63DFB"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tcPr>
          <w:p w14:paraId="4AE4BD3F" w14:textId="0B3321BD" w:rsidR="007B5824" w:rsidRPr="00C928A9" w:rsidRDefault="007B5824" w:rsidP="00C928A9">
            <w:pPr>
              <w:pStyle w:val="TableParagraph"/>
              <w:spacing w:before="240" w:after="240"/>
              <w:ind w:left="101" w:right="86"/>
              <w:jc w:val="both"/>
              <w:rPr>
                <w:sz w:val="24"/>
              </w:rPr>
            </w:pPr>
            <w:r w:rsidRPr="008C684F">
              <w:rPr>
                <w:sz w:val="24"/>
              </w:rPr>
              <w:t>Users can submit specific requests for data through the INSTAT</w:t>
            </w:r>
            <w:r w:rsidR="00C928A9">
              <w:rPr>
                <w:sz w:val="24"/>
              </w:rPr>
              <w:t xml:space="preserve"> </w:t>
            </w:r>
            <w:r w:rsidRPr="008C684F">
              <w:rPr>
                <w:sz w:val="24"/>
              </w:rPr>
              <w:t xml:space="preserve">website in a dedicated session to contact in the following link: </w:t>
            </w:r>
            <w:hyperlink r:id="rId19" w:history="1">
              <w:r w:rsidR="004554E3" w:rsidRPr="004554E3">
                <w:rPr>
                  <w:rStyle w:val="Hyperlink"/>
                  <w:sz w:val="24"/>
                </w:rPr>
                <w:t>Data request</w:t>
              </w:r>
            </w:hyperlink>
          </w:p>
        </w:tc>
      </w:tr>
      <w:tr w:rsidR="0018721A" w:rsidRPr="008C684F" w14:paraId="7171C7C8" w14:textId="77777777" w:rsidTr="003B0BBB">
        <w:trPr>
          <w:trHeight w:val="683"/>
        </w:trPr>
        <w:tc>
          <w:tcPr>
            <w:tcW w:w="2320" w:type="dxa"/>
            <w:shd w:val="clear" w:color="auto" w:fill="FFFFCC"/>
            <w:noWrap/>
            <w:vAlign w:val="center"/>
            <w:hideMark/>
          </w:tcPr>
          <w:p w14:paraId="6F3CD0D0"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tcPr>
          <w:p w14:paraId="0B23A4B1" w14:textId="4DDECF05" w:rsidR="0018721A" w:rsidRPr="0018721A" w:rsidRDefault="0018721A" w:rsidP="0018721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18721A">
              <w:rPr>
                <w:rFonts w:ascii="Times New Roman" w:hAnsi="Times New Roman" w:cs="Times New Roman"/>
                <w:sz w:val="24"/>
                <w:szCs w:val="24"/>
              </w:rPr>
              <w:t xml:space="preserve">A short description on methodology used to compile CPI and HICP is published on INSTAT website: </w:t>
            </w:r>
            <w:hyperlink r:id="rId20" w:anchor="tab4" w:history="1">
              <w:r w:rsidRPr="0018721A">
                <w:rPr>
                  <w:rStyle w:val="Hyperlink"/>
                  <w:rFonts w:ascii="Times New Roman" w:hAnsi="Times New Roman" w:cs="Times New Roman"/>
                  <w:sz w:val="24"/>
                  <w:szCs w:val="24"/>
                </w:rPr>
                <w:t>Consumer Price Index</w:t>
              </w:r>
            </w:hyperlink>
          </w:p>
        </w:tc>
      </w:tr>
      <w:tr w:rsidR="0018721A" w:rsidRPr="008C684F" w14:paraId="5D5B6801" w14:textId="77777777" w:rsidTr="003B0BBB">
        <w:trPr>
          <w:trHeight w:val="953"/>
        </w:trPr>
        <w:tc>
          <w:tcPr>
            <w:tcW w:w="2320" w:type="dxa"/>
            <w:shd w:val="clear" w:color="auto" w:fill="FFFFCC"/>
            <w:noWrap/>
            <w:vAlign w:val="center"/>
            <w:hideMark/>
          </w:tcPr>
          <w:p w14:paraId="350A2750"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10.7. Quality documentation</w:t>
            </w:r>
          </w:p>
        </w:tc>
        <w:tc>
          <w:tcPr>
            <w:tcW w:w="8071" w:type="dxa"/>
            <w:shd w:val="clear" w:color="auto" w:fill="auto"/>
            <w:noWrap/>
          </w:tcPr>
          <w:p w14:paraId="6192F204" w14:textId="29F092DE" w:rsidR="0018721A" w:rsidRPr="008C684F" w:rsidRDefault="0018721A" w:rsidP="0018721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For internal users, Price Unit documents all processes and procedures used to calculate CPI/HICP.</w:t>
            </w:r>
          </w:p>
        </w:tc>
      </w:tr>
      <w:tr w:rsidR="0018721A" w:rsidRPr="008C684F" w14:paraId="41BB5220" w14:textId="77777777" w:rsidTr="003B0BBB">
        <w:trPr>
          <w:trHeight w:val="567"/>
        </w:trPr>
        <w:tc>
          <w:tcPr>
            <w:tcW w:w="10391" w:type="dxa"/>
            <w:gridSpan w:val="2"/>
            <w:shd w:val="clear" w:color="auto" w:fill="FBD4B4" w:themeFill="accent6" w:themeFillTint="66"/>
            <w:noWrap/>
            <w:vAlign w:val="center"/>
            <w:hideMark/>
          </w:tcPr>
          <w:p w14:paraId="16B1E56D" w14:textId="48DE8BBC"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0" w:name="_Toc37690486"/>
            <w:r w:rsidRPr="008C684F">
              <w:rPr>
                <w:rFonts w:ascii="Times New Roman" w:eastAsia="Times New Roman" w:hAnsi="Times New Roman" w:cs="Times New Roman"/>
                <w:noProof/>
                <w:color w:val="000000" w:themeColor="text1"/>
                <w:sz w:val="24"/>
                <w:szCs w:val="24"/>
                <w:lang w:val="sq-AL" w:eastAsia="sq-AL"/>
              </w:rPr>
              <w:t>11. Quality managment</w:t>
            </w:r>
            <w:bookmarkEnd w:id="10"/>
          </w:p>
        </w:tc>
      </w:tr>
      <w:tr w:rsidR="0018721A" w:rsidRPr="008C684F" w14:paraId="488DC70F" w14:textId="77777777" w:rsidTr="003B0BBB">
        <w:trPr>
          <w:trHeight w:val="567"/>
        </w:trPr>
        <w:tc>
          <w:tcPr>
            <w:tcW w:w="2320" w:type="dxa"/>
            <w:shd w:val="clear" w:color="auto" w:fill="FFFFCC"/>
            <w:noWrap/>
            <w:vAlign w:val="center"/>
            <w:hideMark/>
          </w:tcPr>
          <w:p w14:paraId="4A4A730F"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14:paraId="252CF3B2" w14:textId="376B6E48" w:rsidR="0018721A" w:rsidRPr="008C684F" w:rsidRDefault="0018721A" w:rsidP="0018721A">
            <w:pPr>
              <w:pStyle w:val="TableParagraph"/>
              <w:spacing w:before="240" w:after="240"/>
              <w:ind w:left="101" w:right="86"/>
              <w:jc w:val="both"/>
              <w:rPr>
                <w:sz w:val="24"/>
              </w:rPr>
            </w:pPr>
            <w:r w:rsidRPr="008C684F">
              <w:rPr>
                <w:sz w:val="24"/>
              </w:rPr>
              <w:t>INSTAT is committed to ensure the highest quality with respect to the</w:t>
            </w:r>
            <w:r>
              <w:rPr>
                <w:sz w:val="24"/>
              </w:rPr>
              <w:t xml:space="preserve"> </w:t>
            </w:r>
            <w:r w:rsidRPr="008C684F">
              <w:rPr>
                <w:sz w:val="24"/>
              </w:rPr>
              <w:t xml:space="preserve">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w:t>
            </w:r>
            <w:r w:rsidR="00C942CF" w:rsidRPr="008C684F">
              <w:rPr>
                <w:sz w:val="24"/>
              </w:rPr>
              <w:t>tasks,</w:t>
            </w:r>
            <w:r w:rsidRPr="008C684F">
              <w:rPr>
                <w:sz w:val="24"/>
              </w:rPr>
              <w:t xml:space="preserve"> it follows the general principles of quality management from the European Statistics Code of Practice. INSTAT declares that it takes into account the following principles: impartiality, quality of processes and products, user orientation,</w:t>
            </w:r>
            <w:r>
              <w:rPr>
                <w:sz w:val="24"/>
              </w:rPr>
              <w:t xml:space="preserve"> </w:t>
            </w:r>
            <w:r w:rsidRPr="008C684F">
              <w:rPr>
                <w:sz w:val="24"/>
              </w:rPr>
              <w:t xml:space="preserve">employee </w:t>
            </w:r>
            <w:r w:rsidRPr="008C684F">
              <w:rPr>
                <w:sz w:val="24"/>
              </w:rPr>
              <w:lastRenderedPageBreak/>
              <w:t>orientation, effectiveness of statistical processes, reducing the workload for respondents</w:t>
            </w:r>
          </w:p>
        </w:tc>
      </w:tr>
      <w:tr w:rsidR="0018721A" w:rsidRPr="008C684F" w14:paraId="5B2F15AF" w14:textId="77777777" w:rsidTr="003B0BBB">
        <w:trPr>
          <w:trHeight w:val="567"/>
        </w:trPr>
        <w:tc>
          <w:tcPr>
            <w:tcW w:w="2320" w:type="dxa"/>
            <w:shd w:val="clear" w:color="auto" w:fill="FFFFCC"/>
            <w:noWrap/>
            <w:vAlign w:val="center"/>
            <w:hideMark/>
          </w:tcPr>
          <w:p w14:paraId="021A6AA9"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11.2. Quality assessments</w:t>
            </w:r>
          </w:p>
        </w:tc>
        <w:tc>
          <w:tcPr>
            <w:tcW w:w="8071" w:type="dxa"/>
            <w:shd w:val="clear" w:color="auto" w:fill="auto"/>
            <w:vAlign w:val="center"/>
          </w:tcPr>
          <w:p w14:paraId="4A7A9190" w14:textId="79C1703B" w:rsidR="0018721A" w:rsidRPr="008C684F" w:rsidRDefault="0018721A" w:rsidP="0018721A">
            <w:pPr>
              <w:pStyle w:val="TableParagraph"/>
              <w:spacing w:before="240" w:after="240"/>
              <w:ind w:left="101" w:right="86"/>
              <w:jc w:val="both"/>
              <w:rPr>
                <w:sz w:val="24"/>
              </w:rPr>
            </w:pPr>
            <w:r w:rsidRPr="008C684F">
              <w:rPr>
                <w:sz w:val="24"/>
              </w:rPr>
              <w:t>CPI and HICP are the best indicators to measure inflation in Albania (CPI) and to compare inflation across countries in European Union (HICP). The Prices Unit checks prices every month. If we notice that</w:t>
            </w:r>
            <w:r>
              <w:rPr>
                <w:sz w:val="24"/>
              </w:rPr>
              <w:t xml:space="preserve"> </w:t>
            </w:r>
            <w:r w:rsidRPr="008C684F">
              <w:rPr>
                <w:sz w:val="24"/>
              </w:rPr>
              <w:t>a price has a big difference compared to the previous month, the interviewer is contacted to confirm this change and if it is well justified, this price is included in further calculations. Else, the interviewer should verify once more the collected price. In the reporting format used to collect prices, a logical control is implemented to signalize prices which have a monthly change of + or – 25%. In this reporting format, there is also an explanatory code for different types of big changes on prices.</w:t>
            </w:r>
          </w:p>
        </w:tc>
      </w:tr>
      <w:tr w:rsidR="0018721A" w:rsidRPr="008C684F" w14:paraId="4B53EFC6" w14:textId="77777777" w:rsidTr="003B0BBB">
        <w:trPr>
          <w:trHeight w:val="567"/>
        </w:trPr>
        <w:tc>
          <w:tcPr>
            <w:tcW w:w="10391" w:type="dxa"/>
            <w:gridSpan w:val="2"/>
            <w:shd w:val="clear" w:color="auto" w:fill="FBD4B4" w:themeFill="accent6" w:themeFillTint="66"/>
            <w:noWrap/>
            <w:vAlign w:val="center"/>
            <w:hideMark/>
          </w:tcPr>
          <w:p w14:paraId="385FB949" w14:textId="2EDAD01B"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37690487"/>
            <w:r w:rsidRPr="008C684F">
              <w:rPr>
                <w:rFonts w:ascii="Times New Roman" w:eastAsia="Times New Roman" w:hAnsi="Times New Roman" w:cs="Times New Roman"/>
                <w:noProof/>
                <w:color w:val="000000" w:themeColor="text1"/>
                <w:sz w:val="24"/>
                <w:szCs w:val="24"/>
                <w:lang w:val="sq-AL" w:eastAsia="sq-AL"/>
              </w:rPr>
              <w:t>12. Relevance</w:t>
            </w:r>
            <w:bookmarkEnd w:id="11"/>
          </w:p>
        </w:tc>
      </w:tr>
      <w:tr w:rsidR="0018721A" w:rsidRPr="008C684F" w14:paraId="42EA7740" w14:textId="77777777" w:rsidTr="003B0BBB">
        <w:trPr>
          <w:trHeight w:val="567"/>
        </w:trPr>
        <w:tc>
          <w:tcPr>
            <w:tcW w:w="2320" w:type="dxa"/>
            <w:shd w:val="clear" w:color="auto" w:fill="FFFFCC"/>
            <w:noWrap/>
            <w:vAlign w:val="center"/>
            <w:hideMark/>
          </w:tcPr>
          <w:p w14:paraId="6E2258FE"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14:paraId="2F858D0B" w14:textId="5FA53594" w:rsidR="0018721A" w:rsidRPr="00E06220" w:rsidRDefault="0018721A" w:rsidP="00C928A9">
            <w:pPr>
              <w:pStyle w:val="TableParagraph"/>
              <w:spacing w:before="240" w:after="240"/>
              <w:ind w:left="101" w:right="86"/>
              <w:jc w:val="both"/>
              <w:rPr>
                <w:sz w:val="24"/>
              </w:rPr>
            </w:pPr>
            <w:r w:rsidRPr="00E06220">
              <w:rPr>
                <w:sz w:val="24"/>
              </w:rPr>
              <w:t>Users of ICP/HICP are classified as external and internal. External</w:t>
            </w:r>
            <w:r w:rsidR="00C928A9">
              <w:rPr>
                <w:sz w:val="24"/>
              </w:rPr>
              <w:t xml:space="preserve"> </w:t>
            </w:r>
            <w:r w:rsidRPr="00E06220">
              <w:rPr>
                <w:sz w:val="24"/>
              </w:rPr>
              <w:t>users are:</w:t>
            </w:r>
          </w:p>
          <w:p w14:paraId="05BF234C"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E06220">
              <w:rPr>
                <w:sz w:val="24"/>
              </w:rPr>
              <w:t>Institutions of public</w:t>
            </w:r>
            <w:r w:rsidRPr="00E06220">
              <w:rPr>
                <w:spacing w:val="-1"/>
                <w:sz w:val="24"/>
              </w:rPr>
              <w:t xml:space="preserve"> </w:t>
            </w:r>
            <w:r w:rsidRPr="00E06220">
              <w:rPr>
                <w:sz w:val="24"/>
              </w:rPr>
              <w:t>administration,</w:t>
            </w:r>
          </w:p>
          <w:p w14:paraId="74882B84"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Universities,</w:t>
            </w:r>
          </w:p>
          <w:p w14:paraId="37236D09"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National and international</w:t>
            </w:r>
            <w:r w:rsidRPr="00C928A9">
              <w:rPr>
                <w:spacing w:val="-4"/>
                <w:sz w:val="24"/>
              </w:rPr>
              <w:t xml:space="preserve"> </w:t>
            </w:r>
            <w:r w:rsidRPr="00C928A9">
              <w:rPr>
                <w:sz w:val="24"/>
              </w:rPr>
              <w:t>NGOs,</w:t>
            </w:r>
          </w:p>
          <w:p w14:paraId="04A7A540"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Private</w:t>
            </w:r>
            <w:r w:rsidRPr="00C928A9">
              <w:rPr>
                <w:spacing w:val="2"/>
                <w:sz w:val="24"/>
              </w:rPr>
              <w:t xml:space="preserve"> </w:t>
            </w:r>
            <w:r w:rsidRPr="00C928A9">
              <w:rPr>
                <w:sz w:val="24"/>
              </w:rPr>
              <w:t>businesses,</w:t>
            </w:r>
          </w:p>
          <w:p w14:paraId="01397B4B" w14:textId="4ECC09FA" w:rsidR="0018721A" w:rsidRP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Researchers, students and other similar groups. Publication of the results of CPI is sent to specific groups of</w:t>
            </w:r>
            <w:r w:rsidRPr="00C928A9">
              <w:rPr>
                <w:spacing w:val="-22"/>
                <w:sz w:val="24"/>
              </w:rPr>
              <w:t xml:space="preserve"> </w:t>
            </w:r>
            <w:r w:rsidRPr="00C928A9">
              <w:rPr>
                <w:sz w:val="24"/>
              </w:rPr>
              <w:t>users.</w:t>
            </w:r>
          </w:p>
          <w:p w14:paraId="153B9BAE" w14:textId="77777777" w:rsidR="0018721A" w:rsidRPr="00E06220" w:rsidRDefault="0018721A" w:rsidP="0018721A">
            <w:pPr>
              <w:pStyle w:val="TableParagraph"/>
              <w:spacing w:before="240" w:after="240"/>
              <w:ind w:left="101" w:right="86"/>
              <w:jc w:val="both"/>
              <w:rPr>
                <w:sz w:val="24"/>
              </w:rPr>
            </w:pPr>
            <w:r w:rsidRPr="00E06220">
              <w:rPr>
                <w:sz w:val="24"/>
              </w:rPr>
              <w:t>Internal users are those within INSTAT, who use CPI and HICP results as input for their work. These users are:</w:t>
            </w:r>
          </w:p>
          <w:p w14:paraId="210B301F" w14:textId="77777777" w:rsidR="00C928A9" w:rsidRDefault="0018721A" w:rsidP="00EE3CE1">
            <w:pPr>
              <w:pStyle w:val="TableParagraph"/>
              <w:numPr>
                <w:ilvl w:val="0"/>
                <w:numId w:val="20"/>
              </w:numPr>
              <w:tabs>
                <w:tab w:val="left" w:pos="894"/>
                <w:tab w:val="left" w:pos="895"/>
              </w:tabs>
              <w:spacing w:before="2" w:line="293" w:lineRule="exact"/>
              <w:rPr>
                <w:sz w:val="24"/>
              </w:rPr>
            </w:pPr>
            <w:r w:rsidRPr="00E06220">
              <w:rPr>
                <w:sz w:val="24"/>
              </w:rPr>
              <w:t>National Account</w:t>
            </w:r>
            <w:r w:rsidRPr="00E06220">
              <w:rPr>
                <w:spacing w:val="-1"/>
                <w:sz w:val="24"/>
              </w:rPr>
              <w:t xml:space="preserve"> </w:t>
            </w:r>
            <w:r w:rsidRPr="00E06220">
              <w:rPr>
                <w:sz w:val="24"/>
              </w:rPr>
              <w:t>Directory,</w:t>
            </w:r>
          </w:p>
          <w:p w14:paraId="38EBA374" w14:textId="7BFC81C4" w:rsidR="0018721A" w:rsidRPr="00C928A9" w:rsidRDefault="0018721A" w:rsidP="00C942CF">
            <w:pPr>
              <w:pStyle w:val="TableParagraph"/>
              <w:numPr>
                <w:ilvl w:val="0"/>
                <w:numId w:val="20"/>
              </w:numPr>
              <w:tabs>
                <w:tab w:val="left" w:pos="894"/>
                <w:tab w:val="left" w:pos="895"/>
              </w:tabs>
              <w:spacing w:before="2" w:after="240" w:line="293" w:lineRule="exact"/>
              <w:rPr>
                <w:sz w:val="24"/>
              </w:rPr>
            </w:pPr>
            <w:r w:rsidRPr="00C928A9">
              <w:rPr>
                <w:sz w:val="24"/>
              </w:rPr>
              <w:t>Short Term</w:t>
            </w:r>
            <w:r w:rsidRPr="00C928A9">
              <w:rPr>
                <w:spacing w:val="1"/>
                <w:sz w:val="24"/>
              </w:rPr>
              <w:t xml:space="preserve"> </w:t>
            </w:r>
            <w:r w:rsidRPr="00C928A9">
              <w:rPr>
                <w:sz w:val="24"/>
              </w:rPr>
              <w:t>Statistics.</w:t>
            </w:r>
          </w:p>
        </w:tc>
      </w:tr>
      <w:tr w:rsidR="0018721A" w:rsidRPr="008C684F" w14:paraId="7D37A10A" w14:textId="77777777" w:rsidTr="00E9764A">
        <w:trPr>
          <w:trHeight w:val="2033"/>
        </w:trPr>
        <w:tc>
          <w:tcPr>
            <w:tcW w:w="2320" w:type="dxa"/>
            <w:shd w:val="clear" w:color="auto" w:fill="FFFFCC"/>
            <w:noWrap/>
            <w:vAlign w:val="center"/>
            <w:hideMark/>
          </w:tcPr>
          <w:p w14:paraId="37EDB17C"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tcPr>
          <w:p w14:paraId="373385EE" w14:textId="77777777" w:rsidR="00E9764A" w:rsidRDefault="0018721A" w:rsidP="00E9764A">
            <w:pPr>
              <w:pStyle w:val="TableParagraph"/>
              <w:spacing w:before="240"/>
              <w:ind w:left="101" w:right="86"/>
              <w:jc w:val="both"/>
              <w:rPr>
                <w:sz w:val="24"/>
              </w:rPr>
            </w:pPr>
            <w:r w:rsidRPr="00570E2A">
              <w:rPr>
                <w:sz w:val="24"/>
              </w:rPr>
              <w:t>Page Views (Hits) about CPI in 20</w:t>
            </w:r>
            <w:r w:rsidR="00C52396" w:rsidRPr="00570E2A">
              <w:rPr>
                <w:sz w:val="24"/>
              </w:rPr>
              <w:t>20</w:t>
            </w:r>
            <w:r w:rsidRPr="00570E2A">
              <w:rPr>
                <w:sz w:val="24"/>
              </w:rPr>
              <w:t xml:space="preserve"> are around </w:t>
            </w:r>
            <w:r w:rsidR="00570E2A" w:rsidRPr="00570E2A">
              <w:rPr>
                <w:sz w:val="24"/>
              </w:rPr>
              <w:t>37</w:t>
            </w:r>
            <w:r w:rsidRPr="00570E2A">
              <w:rPr>
                <w:sz w:val="24"/>
              </w:rPr>
              <w:t>.</w:t>
            </w:r>
            <w:r w:rsidR="00570E2A" w:rsidRPr="00570E2A">
              <w:rPr>
                <w:sz w:val="24"/>
              </w:rPr>
              <w:t>066</w:t>
            </w:r>
            <w:r w:rsidRPr="00570E2A">
              <w:rPr>
                <w:sz w:val="24"/>
              </w:rPr>
              <w:t xml:space="preserve"> clicks.</w:t>
            </w:r>
          </w:p>
          <w:p w14:paraId="1BEB821F" w14:textId="4EA5DCDE" w:rsidR="00C942CF" w:rsidRDefault="00C942CF" w:rsidP="00E9764A">
            <w:pPr>
              <w:pStyle w:val="TableParagraph"/>
              <w:ind w:left="101" w:right="86"/>
              <w:jc w:val="both"/>
              <w:rPr>
                <w:noProof/>
                <w:sz w:val="24"/>
                <w:szCs w:val="24"/>
                <w:lang w:val="sq-AL"/>
              </w:rPr>
            </w:pPr>
            <w:r w:rsidRPr="00572B56">
              <w:rPr>
                <w:color w:val="000000"/>
                <w:sz w:val="24"/>
                <w:szCs w:val="24"/>
              </w:rPr>
              <w:t>During 20</w:t>
            </w:r>
            <w:r w:rsidR="00C52396" w:rsidRPr="00572B56">
              <w:rPr>
                <w:color w:val="000000"/>
                <w:sz w:val="24"/>
                <w:szCs w:val="24"/>
              </w:rPr>
              <w:t>20</w:t>
            </w:r>
            <w:r w:rsidRPr="00572B56">
              <w:rPr>
                <w:color w:val="000000"/>
                <w:sz w:val="24"/>
                <w:szCs w:val="24"/>
              </w:rPr>
              <w:t xml:space="preserve"> INSTAT conducted User Satisfaction Survey from INSTAT publications. The survey results show that the overall quality</w:t>
            </w:r>
            <w:r w:rsidRPr="00572B56">
              <w:rPr>
                <w:noProof/>
                <w:sz w:val="24"/>
                <w:szCs w:val="24"/>
              </w:rPr>
              <w:t xml:space="preserve"> of </w:t>
            </w:r>
            <w:r w:rsidRPr="00572B56">
              <w:rPr>
                <w:sz w:val="24"/>
              </w:rPr>
              <w:t>Consumer Price Index Statistics</w:t>
            </w:r>
            <w:r w:rsidRPr="00572B56">
              <w:rPr>
                <w:noProof/>
                <w:sz w:val="24"/>
                <w:szCs w:val="24"/>
              </w:rPr>
              <w:t xml:space="preserve"> is rated </w:t>
            </w:r>
            <w:r w:rsidRPr="00572B56">
              <w:rPr>
                <w:sz w:val="24"/>
              </w:rPr>
              <w:t>3.7</w:t>
            </w:r>
            <w:r w:rsidR="00C52396" w:rsidRPr="00572B56">
              <w:rPr>
                <w:sz w:val="24"/>
              </w:rPr>
              <w:t>4</w:t>
            </w:r>
            <w:r w:rsidRPr="00572B56">
              <w:rPr>
                <w:sz w:val="24"/>
              </w:rPr>
              <w:t xml:space="preserve"> (74.</w:t>
            </w:r>
            <w:r w:rsidR="00C52396" w:rsidRPr="00572B56">
              <w:rPr>
                <w:sz w:val="24"/>
              </w:rPr>
              <w:t>8</w:t>
            </w:r>
            <w:r w:rsidRPr="00572B56">
              <w:rPr>
                <w:sz w:val="24"/>
              </w:rPr>
              <w:t xml:space="preserve">%) </w:t>
            </w:r>
            <w:r w:rsidRPr="00572B56">
              <w:rPr>
                <w:noProof/>
                <w:sz w:val="24"/>
                <w:szCs w:val="24"/>
              </w:rPr>
              <w:t>on a scale of 1 (very poor) to 5 (very good).</w:t>
            </w:r>
          </w:p>
          <w:p w14:paraId="74AF1EA5" w14:textId="10E6A16E" w:rsidR="00E22B1D" w:rsidRPr="00E22B1D" w:rsidRDefault="00C942CF" w:rsidP="00E9764A">
            <w:pPr>
              <w:spacing w:after="240" w:line="240" w:lineRule="auto"/>
              <w:ind w:left="101" w:right="86"/>
              <w:jc w:val="both"/>
              <w:rPr>
                <w:rFonts w:ascii="Times New Roman" w:hAnsi="Times New Roman" w:cs="Times New Roman"/>
                <w:color w:val="0000FF"/>
                <w:sz w:val="24"/>
                <w:szCs w:val="24"/>
                <w:u w:val="single"/>
              </w:rPr>
            </w:pPr>
            <w:r w:rsidRPr="00576E68">
              <w:rPr>
                <w:rFonts w:ascii="Times New Roman" w:eastAsia="Times New Roman" w:hAnsi="Times New Roman" w:cs="Times New Roman"/>
                <w:sz w:val="24"/>
                <w:szCs w:val="24"/>
                <w:shd w:val="clear" w:color="auto" w:fill="FFFFFF"/>
              </w:rPr>
              <w:t xml:space="preserve">INSTAT organizes every year </w:t>
            </w:r>
            <w:hyperlink r:id="rId21" w:history="1">
              <w:r w:rsidRPr="00576E68">
                <w:rPr>
                  <w:rStyle w:val="Hyperlink"/>
                  <w:rFonts w:ascii="Times New Roman" w:eastAsia="Times New Roman" w:hAnsi="Times New Roman" w:cs="Times New Roman"/>
                  <w:sz w:val="24"/>
                  <w:szCs w:val="24"/>
                  <w:shd w:val="clear" w:color="auto" w:fill="FFFFFF"/>
                </w:rPr>
                <w:t>User Satisfaction Survey</w:t>
              </w:r>
            </w:hyperlink>
            <w:r>
              <w:rPr>
                <w:rStyle w:val="Hyperlink"/>
                <w:rFonts w:ascii="Times New Roman" w:eastAsia="Times New Roman" w:hAnsi="Times New Roman" w:cs="Times New Roman"/>
                <w:sz w:val="24"/>
                <w:szCs w:val="24"/>
                <w:shd w:val="clear" w:color="auto" w:fill="FFFFFF"/>
              </w:rPr>
              <w:t>.</w:t>
            </w:r>
          </w:p>
        </w:tc>
      </w:tr>
      <w:tr w:rsidR="0018721A" w:rsidRPr="008C684F" w14:paraId="0DBC5085" w14:textId="77777777" w:rsidTr="003B0BBB">
        <w:trPr>
          <w:trHeight w:val="567"/>
        </w:trPr>
        <w:tc>
          <w:tcPr>
            <w:tcW w:w="2320" w:type="dxa"/>
            <w:shd w:val="clear" w:color="auto" w:fill="FFFFCC"/>
            <w:noWrap/>
            <w:vAlign w:val="center"/>
            <w:hideMark/>
          </w:tcPr>
          <w:p w14:paraId="5A29FBA3"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12.3. Completeness</w:t>
            </w:r>
          </w:p>
        </w:tc>
        <w:tc>
          <w:tcPr>
            <w:tcW w:w="8071" w:type="dxa"/>
            <w:shd w:val="clear" w:color="auto" w:fill="auto"/>
            <w:noWrap/>
          </w:tcPr>
          <w:p w14:paraId="17A77190" w14:textId="39FE4620" w:rsidR="0018721A" w:rsidRPr="002400B2" w:rsidRDefault="0018721A" w:rsidP="00C52396">
            <w:pPr>
              <w:pStyle w:val="TableParagraph"/>
              <w:spacing w:before="240" w:after="240"/>
              <w:ind w:left="101" w:right="86"/>
              <w:jc w:val="both"/>
              <w:rPr>
                <w:sz w:val="24"/>
              </w:rPr>
            </w:pPr>
            <w:r w:rsidRPr="006276F6">
              <w:rPr>
                <w:sz w:val="24"/>
              </w:rPr>
              <w:t>Completeness degree of CPI for 20</w:t>
            </w:r>
            <w:r w:rsidR="00C52396" w:rsidRPr="006276F6">
              <w:rPr>
                <w:sz w:val="24"/>
              </w:rPr>
              <w:t>20</w:t>
            </w:r>
            <w:r w:rsidRPr="006276F6">
              <w:rPr>
                <w:sz w:val="24"/>
              </w:rPr>
              <w:t xml:space="preserve"> is 100%. This calculation has taken into account the indicators required by EUROSTAT </w:t>
            </w:r>
            <w:r w:rsidR="00FA0222" w:rsidRPr="006276F6">
              <w:rPr>
                <w:sz w:val="24"/>
              </w:rPr>
              <w:t>in compliance with</w:t>
            </w:r>
            <w:r w:rsidRPr="006276F6">
              <w:rPr>
                <w:sz w:val="24"/>
              </w:rPr>
              <w:t xml:space="preserve"> the Commission Regulation (EC) 1749/99, 23 July 1999.</w:t>
            </w:r>
          </w:p>
        </w:tc>
      </w:tr>
      <w:tr w:rsidR="0018721A" w:rsidRPr="008C684F" w14:paraId="5054ADB5" w14:textId="77777777" w:rsidTr="003B0BBB">
        <w:trPr>
          <w:trHeight w:val="567"/>
        </w:trPr>
        <w:tc>
          <w:tcPr>
            <w:tcW w:w="10391" w:type="dxa"/>
            <w:gridSpan w:val="2"/>
            <w:shd w:val="clear" w:color="auto" w:fill="FBD4B4" w:themeFill="accent6" w:themeFillTint="66"/>
            <w:noWrap/>
            <w:vAlign w:val="center"/>
            <w:hideMark/>
          </w:tcPr>
          <w:p w14:paraId="0C69C26E" w14:textId="46F4FE46"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37690488"/>
            <w:r w:rsidRPr="008C684F">
              <w:rPr>
                <w:rFonts w:ascii="Times New Roman" w:eastAsia="Times New Roman" w:hAnsi="Times New Roman" w:cs="Times New Roman"/>
                <w:noProof/>
                <w:color w:val="000000" w:themeColor="text1"/>
                <w:sz w:val="24"/>
                <w:szCs w:val="24"/>
                <w:lang w:val="sq-AL" w:eastAsia="sq-AL"/>
              </w:rPr>
              <w:t>13. Accuracy and reliability</w:t>
            </w:r>
            <w:bookmarkEnd w:id="12"/>
          </w:p>
        </w:tc>
      </w:tr>
      <w:tr w:rsidR="0018721A" w:rsidRPr="008C684F" w14:paraId="7C915CFC" w14:textId="77777777" w:rsidTr="003B0BBB">
        <w:trPr>
          <w:trHeight w:val="567"/>
        </w:trPr>
        <w:tc>
          <w:tcPr>
            <w:tcW w:w="2320" w:type="dxa"/>
            <w:shd w:val="clear" w:color="auto" w:fill="FFFFCC"/>
            <w:noWrap/>
            <w:vAlign w:val="center"/>
            <w:hideMark/>
          </w:tcPr>
          <w:p w14:paraId="5B98D7FD"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14:paraId="210FF75D" w14:textId="10E7E358" w:rsidR="0018721A" w:rsidRPr="008C684F" w:rsidRDefault="0018721A" w:rsidP="00C32887">
            <w:pPr>
              <w:pStyle w:val="TableParagraph"/>
              <w:spacing w:before="240" w:after="240"/>
              <w:ind w:left="101" w:right="86"/>
              <w:jc w:val="both"/>
              <w:rPr>
                <w:sz w:val="24"/>
              </w:rPr>
            </w:pPr>
            <w:r w:rsidRPr="008C684F">
              <w:rPr>
                <w:sz w:val="24"/>
              </w:rPr>
              <w:t>The</w:t>
            </w:r>
            <w:r w:rsidRPr="008C684F">
              <w:rPr>
                <w:spacing w:val="17"/>
                <w:sz w:val="24"/>
              </w:rPr>
              <w:t xml:space="preserve"> </w:t>
            </w:r>
            <w:r w:rsidRPr="008C684F">
              <w:rPr>
                <w:sz w:val="24"/>
              </w:rPr>
              <w:t>accuracy</w:t>
            </w:r>
            <w:r w:rsidRPr="008C684F">
              <w:rPr>
                <w:spacing w:val="15"/>
                <w:sz w:val="24"/>
              </w:rPr>
              <w:t xml:space="preserve"> </w:t>
            </w:r>
            <w:r w:rsidRPr="008C684F">
              <w:rPr>
                <w:sz w:val="24"/>
              </w:rPr>
              <w:t>of</w:t>
            </w:r>
            <w:r w:rsidRPr="008C684F">
              <w:rPr>
                <w:spacing w:val="19"/>
                <w:sz w:val="24"/>
              </w:rPr>
              <w:t xml:space="preserve"> </w:t>
            </w:r>
            <w:r w:rsidRPr="008C684F">
              <w:rPr>
                <w:sz w:val="24"/>
              </w:rPr>
              <w:t>CPI/HICP</w:t>
            </w:r>
            <w:r w:rsidRPr="008C684F">
              <w:rPr>
                <w:spacing w:val="16"/>
                <w:sz w:val="24"/>
              </w:rPr>
              <w:t xml:space="preserve"> </w:t>
            </w:r>
            <w:r w:rsidRPr="008C684F">
              <w:rPr>
                <w:sz w:val="24"/>
              </w:rPr>
              <w:t>is</w:t>
            </w:r>
            <w:r w:rsidRPr="008C684F">
              <w:rPr>
                <w:spacing w:val="18"/>
                <w:sz w:val="24"/>
              </w:rPr>
              <w:t xml:space="preserve"> </w:t>
            </w:r>
            <w:r w:rsidRPr="008C684F">
              <w:rPr>
                <w:sz w:val="24"/>
              </w:rPr>
              <w:t>generally</w:t>
            </w:r>
            <w:r w:rsidRPr="008C684F">
              <w:rPr>
                <w:spacing w:val="15"/>
                <w:sz w:val="24"/>
              </w:rPr>
              <w:t xml:space="preserve"> </w:t>
            </w:r>
            <w:r w:rsidRPr="008C684F">
              <w:rPr>
                <w:sz w:val="24"/>
              </w:rPr>
              <w:t>considered</w:t>
            </w:r>
            <w:r w:rsidRPr="008C684F">
              <w:rPr>
                <w:spacing w:val="17"/>
                <w:sz w:val="24"/>
              </w:rPr>
              <w:t xml:space="preserve"> </w:t>
            </w:r>
            <w:r w:rsidRPr="008C684F">
              <w:rPr>
                <w:sz w:val="24"/>
              </w:rPr>
              <w:t>to</w:t>
            </w:r>
            <w:r w:rsidRPr="008C684F">
              <w:rPr>
                <w:spacing w:val="18"/>
                <w:sz w:val="24"/>
              </w:rPr>
              <w:t xml:space="preserve"> </w:t>
            </w:r>
            <w:r w:rsidRPr="008C684F">
              <w:rPr>
                <w:sz w:val="24"/>
              </w:rPr>
              <w:t>be</w:t>
            </w:r>
            <w:r w:rsidRPr="008C684F">
              <w:rPr>
                <w:spacing w:val="19"/>
                <w:sz w:val="24"/>
              </w:rPr>
              <w:t xml:space="preserve"> </w:t>
            </w:r>
            <w:r w:rsidRPr="008C684F">
              <w:rPr>
                <w:sz w:val="24"/>
              </w:rPr>
              <w:t>high.</w:t>
            </w:r>
            <w:r w:rsidRPr="008C684F">
              <w:rPr>
                <w:spacing w:val="19"/>
                <w:sz w:val="24"/>
              </w:rPr>
              <w:t xml:space="preserve"> </w:t>
            </w:r>
            <w:r w:rsidRPr="008C684F">
              <w:rPr>
                <w:sz w:val="24"/>
              </w:rPr>
              <w:t>There</w:t>
            </w:r>
            <w:r w:rsidR="00C32887">
              <w:rPr>
                <w:sz w:val="24"/>
              </w:rPr>
              <w:t xml:space="preserve"> </w:t>
            </w:r>
            <w:r w:rsidRPr="008C684F">
              <w:rPr>
                <w:sz w:val="24"/>
              </w:rPr>
              <w:t xml:space="preserve">is methodological accuracy in regards of weights and prices and calculations according to European Regulations. The products in the basket are selected using HBS data. The goods and services selected are those of most importance </w:t>
            </w:r>
            <w:r w:rsidRPr="008C684F">
              <w:rPr>
                <w:sz w:val="24"/>
              </w:rPr>
              <w:lastRenderedPageBreak/>
              <w:t>to the customers, have a significant share in total consumption and best reflect the changes of prices of related products. Prices are collected in different type of outlets, supermarkets, markets, etc., in 11 prefectures in the country, some of them also via internet and by phone. For the calculation of weights</w:t>
            </w:r>
            <w:r w:rsidRPr="008C684F">
              <w:rPr>
                <w:spacing w:val="-8"/>
                <w:sz w:val="24"/>
              </w:rPr>
              <w:t xml:space="preserve"> </w:t>
            </w:r>
            <w:r w:rsidRPr="008C684F">
              <w:rPr>
                <w:sz w:val="24"/>
              </w:rPr>
              <w:t>for</w:t>
            </w:r>
            <w:r w:rsidR="00C32887">
              <w:rPr>
                <w:sz w:val="24"/>
              </w:rPr>
              <w:t xml:space="preserve"> </w:t>
            </w:r>
            <w:r w:rsidRPr="008C684F">
              <w:rPr>
                <w:sz w:val="24"/>
              </w:rPr>
              <w:t>CPI, are used expenditures of resident households (national concept), and for HICP expenditures of resident and nonresident households in Albania (domestic concept).</w:t>
            </w:r>
          </w:p>
        </w:tc>
      </w:tr>
      <w:tr w:rsidR="0018721A" w:rsidRPr="008C684F" w14:paraId="7F6A34E2" w14:textId="77777777" w:rsidTr="003B0BBB">
        <w:trPr>
          <w:trHeight w:val="1142"/>
        </w:trPr>
        <w:tc>
          <w:tcPr>
            <w:tcW w:w="2320" w:type="dxa"/>
            <w:shd w:val="clear" w:color="auto" w:fill="FFFFCC"/>
            <w:noWrap/>
            <w:vAlign w:val="center"/>
            <w:hideMark/>
          </w:tcPr>
          <w:p w14:paraId="6FA92435"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13.2. Sampling error</w:t>
            </w:r>
          </w:p>
        </w:tc>
        <w:tc>
          <w:tcPr>
            <w:tcW w:w="8071" w:type="dxa"/>
            <w:shd w:val="clear" w:color="auto" w:fill="auto"/>
          </w:tcPr>
          <w:p w14:paraId="73D2F768" w14:textId="7EF69AE2" w:rsidR="0018721A" w:rsidRPr="002400B2" w:rsidRDefault="0018721A" w:rsidP="0018721A">
            <w:pPr>
              <w:pStyle w:val="TableParagraph"/>
              <w:spacing w:before="240" w:after="240"/>
              <w:ind w:left="101" w:right="86"/>
              <w:jc w:val="both"/>
              <w:rPr>
                <w:sz w:val="24"/>
              </w:rPr>
            </w:pPr>
            <w:r w:rsidRPr="008C684F">
              <w:rPr>
                <w:sz w:val="24"/>
              </w:rPr>
              <w:t xml:space="preserve">The methodology for calculating the precision of CPI/HICP is not applicable, because CPI/HICP is based in non-probability sample. To reduce </w:t>
            </w:r>
            <w:r w:rsidR="00E20C0A" w:rsidRPr="008C684F">
              <w:rPr>
                <w:sz w:val="24"/>
              </w:rPr>
              <w:t>errors,</w:t>
            </w:r>
            <w:r w:rsidRPr="008C684F">
              <w:rPr>
                <w:sz w:val="24"/>
              </w:rPr>
              <w:t xml:space="preserve"> we have increased the number of observations for each</w:t>
            </w:r>
            <w:r>
              <w:rPr>
                <w:sz w:val="24"/>
              </w:rPr>
              <w:t xml:space="preserve"> </w:t>
            </w:r>
            <w:r w:rsidRPr="008C684F">
              <w:rPr>
                <w:sz w:val="24"/>
              </w:rPr>
              <w:t>product.</w:t>
            </w:r>
          </w:p>
        </w:tc>
      </w:tr>
      <w:tr w:rsidR="0018721A" w:rsidRPr="008C684F" w14:paraId="1D73145C" w14:textId="77777777" w:rsidTr="003B0BBB">
        <w:trPr>
          <w:trHeight w:val="1340"/>
        </w:trPr>
        <w:tc>
          <w:tcPr>
            <w:tcW w:w="2320" w:type="dxa"/>
            <w:shd w:val="clear" w:color="auto" w:fill="FFFFCC"/>
            <w:noWrap/>
            <w:vAlign w:val="center"/>
            <w:hideMark/>
          </w:tcPr>
          <w:p w14:paraId="287BB5B8"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tcPr>
          <w:p w14:paraId="2CF711D0" w14:textId="6AB194D2" w:rsidR="0018721A" w:rsidRPr="008C684F" w:rsidRDefault="0018721A" w:rsidP="00AB6F93">
            <w:pPr>
              <w:pStyle w:val="TableParagraph"/>
              <w:spacing w:before="240" w:after="240"/>
              <w:ind w:left="101" w:right="86"/>
              <w:jc w:val="both"/>
              <w:rPr>
                <w:sz w:val="24"/>
              </w:rPr>
            </w:pPr>
            <w:r w:rsidRPr="00AB6F93">
              <w:rPr>
                <w:sz w:val="24"/>
              </w:rPr>
              <w:t>Nonresponse in observation level is calculated using retail outlets that refuse to give information and enumerators who do not find the required product in the outlet. The non-response rate in observation level</w:t>
            </w:r>
            <w:r w:rsidRPr="00AB6F93">
              <w:rPr>
                <w:spacing w:val="17"/>
                <w:sz w:val="24"/>
              </w:rPr>
              <w:t xml:space="preserve"> </w:t>
            </w:r>
            <w:r w:rsidRPr="00AB6F93">
              <w:rPr>
                <w:sz w:val="24"/>
              </w:rPr>
              <w:t>for</w:t>
            </w:r>
            <w:r w:rsidRPr="00AB6F93">
              <w:rPr>
                <w:spacing w:val="14"/>
                <w:sz w:val="24"/>
              </w:rPr>
              <w:t xml:space="preserve"> </w:t>
            </w:r>
            <w:r w:rsidRPr="00AB6F93">
              <w:rPr>
                <w:sz w:val="24"/>
              </w:rPr>
              <w:t>CPI</w:t>
            </w:r>
            <w:r w:rsidR="00567A6E" w:rsidRPr="00AB6F93">
              <w:rPr>
                <w:sz w:val="24"/>
              </w:rPr>
              <w:t>/HICP</w:t>
            </w:r>
            <w:r w:rsidRPr="00AB6F93">
              <w:rPr>
                <w:spacing w:val="17"/>
                <w:sz w:val="24"/>
              </w:rPr>
              <w:t xml:space="preserve"> </w:t>
            </w:r>
            <w:r w:rsidRPr="00AB6F93">
              <w:rPr>
                <w:sz w:val="24"/>
              </w:rPr>
              <w:t>is</w:t>
            </w:r>
            <w:r w:rsidRPr="00AB6F93">
              <w:rPr>
                <w:spacing w:val="17"/>
                <w:sz w:val="24"/>
              </w:rPr>
              <w:t xml:space="preserve"> </w:t>
            </w:r>
            <w:r w:rsidR="00AB6F93" w:rsidRPr="00AB6F93">
              <w:rPr>
                <w:spacing w:val="17"/>
                <w:sz w:val="24"/>
              </w:rPr>
              <w:t xml:space="preserve">0 </w:t>
            </w:r>
            <w:r w:rsidRPr="00AB6F93">
              <w:rPr>
                <w:sz w:val="24"/>
              </w:rPr>
              <w:t>%.</w:t>
            </w:r>
            <w:r w:rsidRPr="00AB6F93">
              <w:rPr>
                <w:spacing w:val="19"/>
                <w:sz w:val="24"/>
              </w:rPr>
              <w:t xml:space="preserve"> </w:t>
            </w:r>
            <w:r w:rsidRPr="00AB6F93">
              <w:rPr>
                <w:sz w:val="24"/>
              </w:rPr>
              <w:t>The</w:t>
            </w:r>
            <w:r w:rsidRPr="00AB6F93">
              <w:rPr>
                <w:spacing w:val="20"/>
                <w:sz w:val="24"/>
              </w:rPr>
              <w:t xml:space="preserve"> </w:t>
            </w:r>
            <w:r w:rsidRPr="00AB6F93">
              <w:rPr>
                <w:sz w:val="24"/>
              </w:rPr>
              <w:t>non-response</w:t>
            </w:r>
            <w:r w:rsidRPr="00AB6F93">
              <w:rPr>
                <w:spacing w:val="20"/>
                <w:sz w:val="24"/>
              </w:rPr>
              <w:t xml:space="preserve"> </w:t>
            </w:r>
            <w:r w:rsidRPr="00AB6F93">
              <w:rPr>
                <w:sz w:val="24"/>
              </w:rPr>
              <w:t>rate</w:t>
            </w:r>
            <w:r w:rsidRPr="00AB6F93">
              <w:rPr>
                <w:spacing w:val="19"/>
                <w:sz w:val="24"/>
              </w:rPr>
              <w:t xml:space="preserve"> </w:t>
            </w:r>
            <w:r w:rsidRPr="00AB6F93">
              <w:rPr>
                <w:sz w:val="24"/>
              </w:rPr>
              <w:t>in</w:t>
            </w:r>
            <w:r w:rsidRPr="00AB6F93">
              <w:rPr>
                <w:spacing w:val="16"/>
                <w:sz w:val="24"/>
              </w:rPr>
              <w:t xml:space="preserve"> </w:t>
            </w:r>
            <w:r w:rsidRPr="00AB6F93">
              <w:rPr>
                <w:sz w:val="24"/>
              </w:rPr>
              <w:t>variable</w:t>
            </w:r>
            <w:r w:rsidRPr="00AB6F93">
              <w:rPr>
                <w:spacing w:val="18"/>
                <w:sz w:val="24"/>
              </w:rPr>
              <w:t xml:space="preserve"> </w:t>
            </w:r>
            <w:r w:rsidRPr="00AB6F93">
              <w:rPr>
                <w:sz w:val="24"/>
              </w:rPr>
              <w:t>level</w:t>
            </w:r>
            <w:r w:rsidRPr="00AB6F93">
              <w:rPr>
                <w:spacing w:val="18"/>
                <w:sz w:val="24"/>
              </w:rPr>
              <w:t xml:space="preserve"> </w:t>
            </w:r>
            <w:r w:rsidRPr="00AB6F93">
              <w:rPr>
                <w:sz w:val="24"/>
              </w:rPr>
              <w:t>for</w:t>
            </w:r>
            <w:r w:rsidRPr="00AB6F93">
              <w:rPr>
                <w:spacing w:val="17"/>
                <w:sz w:val="24"/>
              </w:rPr>
              <w:t xml:space="preserve"> </w:t>
            </w:r>
            <w:r w:rsidR="00662F9B" w:rsidRPr="00AB6F93">
              <w:rPr>
                <w:sz w:val="24"/>
              </w:rPr>
              <w:t>CPI</w:t>
            </w:r>
            <w:r w:rsidR="00567A6E" w:rsidRPr="00AB6F93">
              <w:rPr>
                <w:sz w:val="24"/>
              </w:rPr>
              <w:t>/HICP</w:t>
            </w:r>
            <w:r w:rsidR="00662F9B" w:rsidRPr="00AB6F93">
              <w:rPr>
                <w:sz w:val="24"/>
              </w:rPr>
              <w:t xml:space="preserve"> </w:t>
            </w:r>
            <w:r w:rsidRPr="00AB6F93">
              <w:rPr>
                <w:sz w:val="24"/>
              </w:rPr>
              <w:t xml:space="preserve">is </w:t>
            </w:r>
            <w:r w:rsidR="00AB6F93" w:rsidRPr="00AB6F93">
              <w:rPr>
                <w:sz w:val="24"/>
              </w:rPr>
              <w:t xml:space="preserve">0 </w:t>
            </w:r>
            <w:r w:rsidRPr="00AB6F93">
              <w:rPr>
                <w:sz w:val="24"/>
              </w:rPr>
              <w:t>%</w:t>
            </w:r>
            <w:r w:rsidR="00662F9B" w:rsidRPr="00AB6F93">
              <w:rPr>
                <w:sz w:val="24"/>
              </w:rPr>
              <w:t>.</w:t>
            </w:r>
          </w:p>
        </w:tc>
      </w:tr>
      <w:tr w:rsidR="0018721A" w:rsidRPr="008C684F" w14:paraId="630A4C96" w14:textId="77777777" w:rsidTr="003B0BBB">
        <w:trPr>
          <w:trHeight w:val="567"/>
        </w:trPr>
        <w:tc>
          <w:tcPr>
            <w:tcW w:w="10391" w:type="dxa"/>
            <w:gridSpan w:val="2"/>
            <w:shd w:val="clear" w:color="auto" w:fill="FBD4B4" w:themeFill="accent6" w:themeFillTint="66"/>
            <w:noWrap/>
            <w:vAlign w:val="center"/>
            <w:hideMark/>
          </w:tcPr>
          <w:p w14:paraId="62E0BEF3" w14:textId="7DC094C9" w:rsidR="0018721A" w:rsidRPr="008C684F" w:rsidRDefault="0018721A" w:rsidP="0018721A">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3" w:name="_Toc37690489"/>
            <w:r w:rsidRPr="008C684F">
              <w:rPr>
                <w:rFonts w:ascii="Times New Roman" w:eastAsia="Times New Roman" w:hAnsi="Times New Roman" w:cs="Times New Roman"/>
                <w:noProof/>
                <w:color w:val="000000" w:themeColor="text1"/>
                <w:sz w:val="24"/>
                <w:szCs w:val="24"/>
                <w:lang w:val="sq-AL" w:eastAsia="sq-AL"/>
              </w:rPr>
              <w:t>14. Timeliness and punctuality</w:t>
            </w:r>
            <w:bookmarkEnd w:id="13"/>
          </w:p>
        </w:tc>
      </w:tr>
      <w:tr w:rsidR="0018721A" w:rsidRPr="008C684F" w14:paraId="4D681D21" w14:textId="77777777" w:rsidTr="003B0BBB">
        <w:trPr>
          <w:trHeight w:val="562"/>
        </w:trPr>
        <w:tc>
          <w:tcPr>
            <w:tcW w:w="2320" w:type="dxa"/>
            <w:shd w:val="clear" w:color="auto" w:fill="FFFFCC"/>
            <w:noWrap/>
            <w:vAlign w:val="center"/>
            <w:hideMark/>
          </w:tcPr>
          <w:p w14:paraId="1D290E4E" w14:textId="77777777" w:rsidR="0018721A" w:rsidRPr="008C684F" w:rsidRDefault="0018721A" w:rsidP="0018721A">
            <w:pPr>
              <w:spacing w:after="0"/>
              <w:rPr>
                <w:rFonts w:ascii="Times New Roman" w:eastAsia="Times New Roman" w:hAnsi="Times New Roman" w:cs="Times New Roman"/>
                <w:noProof/>
                <w:color w:val="000000" w:themeColor="text1"/>
                <w:sz w:val="24"/>
                <w:szCs w:val="24"/>
                <w:lang w:val="sq-AL" w:eastAsia="sq-AL"/>
              </w:rPr>
            </w:pPr>
            <w:r w:rsidRPr="008C684F">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14:paraId="387DCE82" w14:textId="3C865035" w:rsidR="0018721A" w:rsidRPr="008C684F" w:rsidRDefault="0088769A" w:rsidP="001873DA">
            <w:pPr>
              <w:pStyle w:val="TableParagraph"/>
              <w:spacing w:before="240" w:after="240"/>
              <w:ind w:left="101" w:right="86"/>
              <w:jc w:val="both"/>
              <w:rPr>
                <w:sz w:val="24"/>
              </w:rPr>
            </w:pPr>
            <w:r w:rsidRPr="00572B56">
              <w:rPr>
                <w:sz w:val="24"/>
                <w:szCs w:val="24"/>
              </w:rPr>
              <w:t xml:space="preserve">The results of the “Consumer Price Index” are published on the INSTAT website </w:t>
            </w:r>
            <w:r w:rsidR="001873DA" w:rsidRPr="00572B56">
              <w:rPr>
                <w:sz w:val="24"/>
                <w:szCs w:val="24"/>
              </w:rPr>
              <w:t>12</w:t>
            </w:r>
            <w:r w:rsidRPr="00572B56">
              <w:rPr>
                <w:sz w:val="24"/>
                <w:szCs w:val="24"/>
              </w:rPr>
              <w:t xml:space="preserve"> days after the end of the reference period (T + </w:t>
            </w:r>
            <w:r w:rsidR="001873DA" w:rsidRPr="00572B56">
              <w:rPr>
                <w:sz w:val="24"/>
                <w:szCs w:val="24"/>
              </w:rPr>
              <w:t>12</w:t>
            </w:r>
            <w:r w:rsidRPr="00572B56">
              <w:rPr>
                <w:sz w:val="24"/>
                <w:szCs w:val="24"/>
              </w:rPr>
              <w:t xml:space="preserve"> days). The reference period of the “Consumer Price Index” results is 31 December 2</w:t>
            </w:r>
            <w:r w:rsidR="001873DA" w:rsidRPr="00572B56">
              <w:rPr>
                <w:sz w:val="24"/>
                <w:szCs w:val="24"/>
              </w:rPr>
              <w:t>020</w:t>
            </w:r>
            <w:r w:rsidR="00E9764A">
              <w:rPr>
                <w:sz w:val="24"/>
                <w:szCs w:val="24"/>
              </w:rPr>
              <w:t>.</w:t>
            </w:r>
          </w:p>
        </w:tc>
      </w:tr>
      <w:tr w:rsidR="0018721A" w:rsidRPr="008C684F" w14:paraId="1EBF6BDD" w14:textId="77777777" w:rsidTr="003B0BBB">
        <w:trPr>
          <w:trHeight w:val="562"/>
        </w:trPr>
        <w:tc>
          <w:tcPr>
            <w:tcW w:w="2320" w:type="dxa"/>
            <w:shd w:val="clear" w:color="auto" w:fill="FFFFCC"/>
            <w:noWrap/>
            <w:vAlign w:val="center"/>
            <w:hideMark/>
          </w:tcPr>
          <w:p w14:paraId="2E3254E7" w14:textId="77777777" w:rsidR="0018721A" w:rsidRPr="008C684F" w:rsidRDefault="0018721A" w:rsidP="0018721A">
            <w:pPr>
              <w:spacing w:after="0"/>
              <w:rPr>
                <w:rFonts w:ascii="Times New Roman" w:eastAsia="Times New Roman" w:hAnsi="Times New Roman" w:cs="Times New Roman"/>
                <w:bCs/>
                <w:noProof/>
                <w:color w:val="000000" w:themeColor="text1"/>
                <w:sz w:val="24"/>
                <w:szCs w:val="24"/>
                <w:lang w:val="sq-AL" w:eastAsia="sq-AL"/>
              </w:rPr>
            </w:pPr>
            <w:r w:rsidRPr="008C684F">
              <w:rPr>
                <w:rFonts w:ascii="Times New Roman" w:eastAsia="Times New Roman" w:hAnsi="Times New Roman" w:cs="Times New Roman"/>
                <w:noProof/>
                <w:color w:val="000000" w:themeColor="text1"/>
                <w:sz w:val="24"/>
                <w:szCs w:val="24"/>
                <w:lang w:val="sq-AL" w:eastAsia="sq-AL"/>
              </w:rPr>
              <w:t xml:space="preserve">14.2. </w:t>
            </w:r>
            <w:r w:rsidRPr="008C684F">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p w14:paraId="3C3A2C39" w14:textId="04DAF030" w:rsidR="0088769A" w:rsidRPr="008C684F" w:rsidRDefault="0088769A" w:rsidP="003B0BBB">
            <w:pPr>
              <w:pStyle w:val="TableParagraph"/>
              <w:spacing w:before="120" w:after="120"/>
              <w:ind w:left="101" w:right="86"/>
              <w:jc w:val="both"/>
              <w:rPr>
                <w:sz w:val="24"/>
              </w:rPr>
            </w:pPr>
            <w:r w:rsidRPr="00572B56">
              <w:rPr>
                <w:sz w:val="24"/>
              </w:rPr>
              <w:t>At the end of each year, INSTAT publishes a Publication Calendar with fixed dates for the following year. Based on this calendar the CPI publication has been punctual in time, with 100% of the publications done over the years.</w:t>
            </w:r>
          </w:p>
        </w:tc>
      </w:tr>
      <w:tr w:rsidR="0018721A" w:rsidRPr="008C684F" w14:paraId="145B2C4A" w14:textId="77777777" w:rsidTr="003B0BBB">
        <w:trPr>
          <w:trHeight w:val="562"/>
        </w:trPr>
        <w:tc>
          <w:tcPr>
            <w:tcW w:w="10391" w:type="dxa"/>
            <w:gridSpan w:val="2"/>
            <w:shd w:val="clear" w:color="auto" w:fill="FBD4B4" w:themeFill="accent6" w:themeFillTint="66"/>
            <w:noWrap/>
            <w:vAlign w:val="center"/>
            <w:hideMark/>
          </w:tcPr>
          <w:p w14:paraId="3099B901" w14:textId="47642265"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4" w:name="_Toc37690490"/>
            <w:r w:rsidRPr="008C684F">
              <w:rPr>
                <w:rFonts w:ascii="Times New Roman" w:eastAsia="Times New Roman" w:hAnsi="Times New Roman" w:cs="Times New Roman"/>
                <w:noProof/>
                <w:color w:val="000000" w:themeColor="text1"/>
                <w:sz w:val="24"/>
                <w:szCs w:val="24"/>
                <w:lang w:val="sq-AL" w:eastAsia="sq-AL"/>
              </w:rPr>
              <w:t>15. Coherence and comparability</w:t>
            </w:r>
            <w:bookmarkEnd w:id="14"/>
          </w:p>
        </w:tc>
      </w:tr>
      <w:tr w:rsidR="0018721A" w:rsidRPr="008C684F" w14:paraId="3EE89D7D" w14:textId="77777777" w:rsidTr="003B0BBB">
        <w:trPr>
          <w:trHeight w:val="562"/>
        </w:trPr>
        <w:tc>
          <w:tcPr>
            <w:tcW w:w="2320" w:type="dxa"/>
            <w:shd w:val="clear" w:color="auto" w:fill="FFFFCC"/>
            <w:noWrap/>
            <w:vAlign w:val="center"/>
            <w:hideMark/>
          </w:tcPr>
          <w:p w14:paraId="08BECCF5"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tcPr>
          <w:p w14:paraId="1AC97DB7" w14:textId="2EE8CF2A" w:rsidR="0018721A" w:rsidRPr="00D51601" w:rsidRDefault="0018721A" w:rsidP="0018721A">
            <w:pPr>
              <w:pStyle w:val="TableParagraph"/>
              <w:spacing w:before="240" w:after="240"/>
              <w:ind w:left="101" w:right="86"/>
              <w:jc w:val="both"/>
              <w:rPr>
                <w:sz w:val="24"/>
              </w:rPr>
            </w:pPr>
            <w:r w:rsidRPr="008C684F">
              <w:rPr>
                <w:sz w:val="24"/>
              </w:rPr>
              <w:t xml:space="preserve">CPI and HICP are based on a </w:t>
            </w:r>
            <w:r w:rsidR="00E20C0A" w:rsidRPr="008C684F">
              <w:rPr>
                <w:sz w:val="24"/>
              </w:rPr>
              <w:t>harmonized</w:t>
            </w:r>
            <w:r w:rsidRPr="008C684F">
              <w:rPr>
                <w:sz w:val="24"/>
              </w:rPr>
              <w:t xml:space="preserve"> methodology and they reflect the changes in prices and the differences in the population’s consumption in the country. CPI data are comparable between prefectures because the method used for collecting, processing and calculating is the same in all the territory of Albania. All prefectures are covered to the same extent. </w:t>
            </w:r>
            <w:r w:rsidR="00E20C0A" w:rsidRPr="008C684F">
              <w:rPr>
                <w:sz w:val="24"/>
              </w:rPr>
              <w:t>Also,</w:t>
            </w:r>
            <w:r w:rsidRPr="008C684F">
              <w:rPr>
                <w:sz w:val="24"/>
              </w:rPr>
              <w:t xml:space="preserve"> the inflation in country level depends on relative size (in total expenditure terms) of each</w:t>
            </w:r>
            <w:r>
              <w:rPr>
                <w:sz w:val="24"/>
              </w:rPr>
              <w:t xml:space="preserve"> </w:t>
            </w:r>
            <w:r w:rsidRPr="008C684F">
              <w:rPr>
                <w:sz w:val="24"/>
              </w:rPr>
              <w:t>prefecture. To compare inflation with EU countries are used data given by HICP.</w:t>
            </w:r>
          </w:p>
        </w:tc>
      </w:tr>
      <w:tr w:rsidR="0018721A" w:rsidRPr="008C684F" w14:paraId="21542805" w14:textId="77777777" w:rsidTr="003B0BBB">
        <w:trPr>
          <w:trHeight w:val="562"/>
        </w:trPr>
        <w:tc>
          <w:tcPr>
            <w:tcW w:w="2320" w:type="dxa"/>
            <w:shd w:val="clear" w:color="auto" w:fill="FFFFCC"/>
            <w:noWrap/>
            <w:vAlign w:val="center"/>
            <w:hideMark/>
          </w:tcPr>
          <w:p w14:paraId="7CEE8D3D"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tcPr>
          <w:p w14:paraId="66AD4C47" w14:textId="78BCE898" w:rsidR="0018721A" w:rsidRPr="008C684F" w:rsidRDefault="0018721A" w:rsidP="0018721A">
            <w:pPr>
              <w:pStyle w:val="TableParagraph"/>
              <w:spacing w:before="240" w:after="240"/>
              <w:ind w:left="101" w:right="86"/>
              <w:jc w:val="both"/>
              <w:rPr>
                <w:sz w:val="24"/>
              </w:rPr>
            </w:pPr>
            <w:r w:rsidRPr="008C684F">
              <w:rPr>
                <w:sz w:val="24"/>
              </w:rPr>
              <w:t>CPI/HICP data are fully comparable over time. There have been several improvements in methodology since HICP was introduced with the aim of improving reliability and comparability of HICP. However, previous indices are recalculated based on the latest methodology so they can be comparable over time.</w:t>
            </w:r>
          </w:p>
        </w:tc>
      </w:tr>
      <w:tr w:rsidR="0018721A" w:rsidRPr="008C684F" w14:paraId="629A72B2" w14:textId="77777777" w:rsidTr="003B0BBB">
        <w:trPr>
          <w:trHeight w:val="562"/>
        </w:trPr>
        <w:tc>
          <w:tcPr>
            <w:tcW w:w="2320" w:type="dxa"/>
            <w:shd w:val="clear" w:color="auto" w:fill="FFFFCC"/>
            <w:noWrap/>
            <w:vAlign w:val="center"/>
            <w:hideMark/>
          </w:tcPr>
          <w:p w14:paraId="349014B2"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tcPr>
          <w:p w14:paraId="63906D0D" w14:textId="77777777" w:rsidR="0018721A" w:rsidRPr="008C684F" w:rsidRDefault="0018721A" w:rsidP="0018721A">
            <w:pPr>
              <w:pStyle w:val="TableParagraph"/>
              <w:spacing w:before="240"/>
              <w:ind w:left="101" w:right="86"/>
              <w:jc w:val="both"/>
              <w:rPr>
                <w:sz w:val="24"/>
              </w:rPr>
            </w:pPr>
            <w:r w:rsidRPr="008C684F">
              <w:rPr>
                <w:sz w:val="24"/>
              </w:rPr>
              <w:t xml:space="preserve">CPI and HICP are two separated indicators to measure inflation. Their main difference is the weight concept. HCIP is based on each monetary unit (ALL) spent in the territory of Albania, from Albanians and non-Albanians. CPI is </w:t>
            </w:r>
            <w:r w:rsidRPr="008C684F">
              <w:rPr>
                <w:sz w:val="24"/>
              </w:rPr>
              <w:lastRenderedPageBreak/>
              <w:t>based on each monetary unit (ALL) spent by Albanians inside and outside the territory of Albania. Other changes are:</w:t>
            </w:r>
          </w:p>
          <w:p w14:paraId="36B47F6A" w14:textId="23B62EE6" w:rsidR="0018721A" w:rsidRPr="008C684F" w:rsidRDefault="002531AE" w:rsidP="0018721A">
            <w:pPr>
              <w:pStyle w:val="TableParagraph"/>
              <w:ind w:left="101" w:right="86"/>
              <w:jc w:val="both"/>
              <w:rPr>
                <w:sz w:val="24"/>
              </w:rPr>
            </w:pPr>
            <w:r>
              <w:rPr>
                <w:sz w:val="24"/>
              </w:rPr>
              <w:t xml:space="preserve">      </w:t>
            </w:r>
            <w:r w:rsidR="0018721A" w:rsidRPr="008C684F">
              <w:rPr>
                <w:sz w:val="24"/>
              </w:rPr>
              <w:t>CPI:</w:t>
            </w:r>
          </w:p>
          <w:p w14:paraId="0717E8A8" w14:textId="77777777" w:rsidR="0018721A" w:rsidRDefault="0018721A" w:rsidP="00EE3CE1">
            <w:pPr>
              <w:pStyle w:val="TableParagraph"/>
              <w:numPr>
                <w:ilvl w:val="0"/>
                <w:numId w:val="16"/>
              </w:numPr>
              <w:ind w:right="86"/>
              <w:jc w:val="both"/>
              <w:rPr>
                <w:sz w:val="24"/>
              </w:rPr>
            </w:pPr>
            <w:r w:rsidRPr="008C684F">
              <w:rPr>
                <w:sz w:val="24"/>
              </w:rPr>
              <w:t xml:space="preserve">Weights of goods and services are calculated based on HBS data, </w:t>
            </w:r>
          </w:p>
          <w:p w14:paraId="4588CA5E" w14:textId="27D08F58" w:rsidR="0018721A" w:rsidRPr="008C684F" w:rsidRDefault="0018721A" w:rsidP="00EE3CE1">
            <w:pPr>
              <w:pStyle w:val="TableParagraph"/>
              <w:numPr>
                <w:ilvl w:val="0"/>
                <w:numId w:val="16"/>
              </w:numPr>
              <w:ind w:right="86"/>
              <w:jc w:val="both"/>
              <w:rPr>
                <w:sz w:val="24"/>
              </w:rPr>
            </w:pPr>
            <w:r w:rsidRPr="008C684F">
              <w:rPr>
                <w:sz w:val="24"/>
              </w:rPr>
              <w:t>Weights are expressed in percentage,</w:t>
            </w:r>
          </w:p>
          <w:p w14:paraId="090216EA" w14:textId="77777777" w:rsidR="0018721A" w:rsidRPr="008C684F" w:rsidRDefault="0018721A" w:rsidP="00EE3CE1">
            <w:pPr>
              <w:pStyle w:val="TableParagraph"/>
              <w:numPr>
                <w:ilvl w:val="0"/>
                <w:numId w:val="16"/>
              </w:numPr>
              <w:ind w:right="86"/>
              <w:jc w:val="both"/>
              <w:rPr>
                <w:sz w:val="24"/>
              </w:rPr>
            </w:pPr>
            <w:r w:rsidRPr="008C684F">
              <w:rPr>
                <w:sz w:val="24"/>
              </w:rPr>
              <w:t xml:space="preserve">Monitored by INSTAT. </w:t>
            </w:r>
          </w:p>
          <w:p w14:paraId="2BC84F37" w14:textId="26CE4BE9" w:rsidR="0018721A" w:rsidRPr="008C684F" w:rsidRDefault="002531AE" w:rsidP="002531AE">
            <w:pPr>
              <w:pStyle w:val="TableParagraph"/>
              <w:spacing w:before="240"/>
              <w:ind w:left="101" w:right="86"/>
              <w:jc w:val="both"/>
              <w:rPr>
                <w:sz w:val="24"/>
              </w:rPr>
            </w:pPr>
            <w:r>
              <w:rPr>
                <w:sz w:val="24"/>
              </w:rPr>
              <w:t xml:space="preserve">     </w:t>
            </w:r>
            <w:r w:rsidR="0018721A" w:rsidRPr="008C684F">
              <w:rPr>
                <w:sz w:val="24"/>
              </w:rPr>
              <w:t>HICP:</w:t>
            </w:r>
          </w:p>
          <w:p w14:paraId="606DE2C6" w14:textId="68D33B40" w:rsidR="0018721A" w:rsidRPr="00A8000D" w:rsidRDefault="0018721A" w:rsidP="00EE3CE1">
            <w:pPr>
              <w:pStyle w:val="TableParagraph"/>
              <w:numPr>
                <w:ilvl w:val="0"/>
                <w:numId w:val="17"/>
              </w:numPr>
              <w:ind w:right="86"/>
              <w:jc w:val="both"/>
              <w:rPr>
                <w:sz w:val="24"/>
              </w:rPr>
            </w:pPr>
            <w:r w:rsidRPr="008C684F">
              <w:rPr>
                <w:sz w:val="24"/>
              </w:rPr>
              <w:t>Weights of goods and services are calculated based on National</w:t>
            </w:r>
            <w:r w:rsidR="00A8000D">
              <w:rPr>
                <w:sz w:val="24"/>
              </w:rPr>
              <w:t xml:space="preserve"> </w:t>
            </w:r>
            <w:r w:rsidRPr="00A8000D">
              <w:rPr>
                <w:sz w:val="24"/>
              </w:rPr>
              <w:t>Accounts data,</w:t>
            </w:r>
          </w:p>
          <w:p w14:paraId="3E26E2C6" w14:textId="77777777" w:rsidR="0018721A" w:rsidRPr="008C684F" w:rsidRDefault="0018721A" w:rsidP="00EE3CE1">
            <w:pPr>
              <w:pStyle w:val="TableParagraph"/>
              <w:numPr>
                <w:ilvl w:val="0"/>
                <w:numId w:val="17"/>
              </w:numPr>
              <w:ind w:right="86"/>
              <w:jc w:val="both"/>
              <w:rPr>
                <w:sz w:val="24"/>
              </w:rPr>
            </w:pPr>
            <w:r w:rsidRPr="008C684F">
              <w:rPr>
                <w:sz w:val="24"/>
              </w:rPr>
              <w:t xml:space="preserve">Weights are expressed in per thousand, </w:t>
            </w:r>
          </w:p>
          <w:p w14:paraId="3E3ECC11" w14:textId="77777777" w:rsidR="0018721A" w:rsidRDefault="0018721A" w:rsidP="00EE3CE1">
            <w:pPr>
              <w:pStyle w:val="TableParagraph"/>
              <w:numPr>
                <w:ilvl w:val="0"/>
                <w:numId w:val="17"/>
              </w:numPr>
              <w:ind w:right="86"/>
              <w:jc w:val="both"/>
              <w:rPr>
                <w:sz w:val="24"/>
              </w:rPr>
            </w:pPr>
            <w:r w:rsidRPr="008C684F">
              <w:rPr>
                <w:sz w:val="24"/>
              </w:rPr>
              <w:t>Monitored by EUROSTAT,</w:t>
            </w:r>
          </w:p>
          <w:p w14:paraId="1676B214" w14:textId="1ECD1F84" w:rsidR="0018721A" w:rsidRPr="008C684F" w:rsidRDefault="0018721A" w:rsidP="002531AE">
            <w:pPr>
              <w:pStyle w:val="TableParagraph"/>
              <w:numPr>
                <w:ilvl w:val="0"/>
                <w:numId w:val="17"/>
              </w:numPr>
              <w:spacing w:after="240"/>
              <w:ind w:right="86"/>
              <w:jc w:val="both"/>
              <w:rPr>
                <w:sz w:val="24"/>
              </w:rPr>
            </w:pPr>
            <w:r w:rsidRPr="008C684F">
              <w:rPr>
                <w:sz w:val="24"/>
              </w:rPr>
              <w:t>Imputed rent is excluded.</w:t>
            </w:r>
          </w:p>
        </w:tc>
      </w:tr>
      <w:tr w:rsidR="0018721A" w:rsidRPr="008C684F" w14:paraId="7A9746B8" w14:textId="77777777" w:rsidTr="003B0BBB">
        <w:trPr>
          <w:trHeight w:val="953"/>
        </w:trPr>
        <w:tc>
          <w:tcPr>
            <w:tcW w:w="2320" w:type="dxa"/>
            <w:shd w:val="clear" w:color="auto" w:fill="FFFFCC"/>
            <w:noWrap/>
            <w:vAlign w:val="center"/>
            <w:hideMark/>
          </w:tcPr>
          <w:p w14:paraId="5A2EF0CD"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15.4. Coherence - internal</w:t>
            </w:r>
          </w:p>
        </w:tc>
        <w:tc>
          <w:tcPr>
            <w:tcW w:w="8071" w:type="dxa"/>
            <w:shd w:val="clear" w:color="auto" w:fill="auto"/>
          </w:tcPr>
          <w:p w14:paraId="55D8D604" w14:textId="0FF839D9" w:rsidR="0018721A" w:rsidRPr="008C684F" w:rsidRDefault="0018721A" w:rsidP="0018721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 and HICP are derived from well-defined procedures which controls internal coherence of collected data.</w:t>
            </w:r>
          </w:p>
        </w:tc>
      </w:tr>
      <w:tr w:rsidR="0018721A" w:rsidRPr="008C684F" w14:paraId="66A19AA2" w14:textId="77777777" w:rsidTr="003B0BBB">
        <w:trPr>
          <w:trHeight w:val="1493"/>
        </w:trPr>
        <w:tc>
          <w:tcPr>
            <w:tcW w:w="2320" w:type="dxa"/>
            <w:shd w:val="clear" w:color="auto" w:fill="FBD4B4" w:themeFill="accent6" w:themeFillTint="66"/>
            <w:vAlign w:val="center"/>
            <w:hideMark/>
          </w:tcPr>
          <w:p w14:paraId="1880F6EF" w14:textId="04CCEAD8" w:rsidR="0018721A" w:rsidRPr="008C684F" w:rsidRDefault="0018721A" w:rsidP="00220742">
            <w:pPr>
              <w:pStyle w:val="Heading1"/>
              <w:spacing w:before="0"/>
              <w:rPr>
                <w:rFonts w:ascii="Times New Roman" w:eastAsia="Times New Roman" w:hAnsi="Times New Roman" w:cs="Times New Roman"/>
                <w:noProof/>
                <w:color w:val="000000"/>
                <w:sz w:val="24"/>
                <w:szCs w:val="24"/>
                <w:lang w:val="sq-AL" w:eastAsia="sq-AL"/>
              </w:rPr>
            </w:pPr>
            <w:bookmarkStart w:id="15" w:name="_Toc37690491"/>
            <w:r w:rsidRPr="00220742">
              <w:rPr>
                <w:rFonts w:ascii="Times New Roman" w:eastAsia="Times New Roman" w:hAnsi="Times New Roman" w:cs="Times New Roman"/>
                <w:noProof/>
                <w:color w:val="000000" w:themeColor="text1"/>
                <w:sz w:val="24"/>
                <w:szCs w:val="24"/>
                <w:lang w:val="sq-AL" w:eastAsia="sq-AL"/>
              </w:rPr>
              <w:t>16. Cost and burden</w:t>
            </w:r>
            <w:bookmarkEnd w:id="15"/>
          </w:p>
        </w:tc>
        <w:tc>
          <w:tcPr>
            <w:tcW w:w="8071" w:type="dxa"/>
            <w:shd w:val="clear" w:color="auto" w:fill="auto"/>
          </w:tcPr>
          <w:p w14:paraId="40CFFE64" w14:textId="77777777" w:rsidR="0018721A" w:rsidRPr="00F7172A" w:rsidRDefault="0018721A" w:rsidP="00220742">
            <w:pPr>
              <w:pStyle w:val="TableParagraph"/>
              <w:spacing w:before="240"/>
              <w:ind w:left="101" w:right="86"/>
              <w:jc w:val="both"/>
              <w:rPr>
                <w:sz w:val="24"/>
              </w:rPr>
            </w:pPr>
            <w:r w:rsidRPr="00F7172A">
              <w:rPr>
                <w:sz w:val="24"/>
              </w:rPr>
              <w:t>Persons working for CPI/HICP:</w:t>
            </w:r>
          </w:p>
          <w:p w14:paraId="065F23E3" w14:textId="64151AA3" w:rsidR="0018721A" w:rsidRPr="006276F6" w:rsidRDefault="0018721A" w:rsidP="00EE3CE1">
            <w:pPr>
              <w:pStyle w:val="TableParagraph"/>
              <w:numPr>
                <w:ilvl w:val="0"/>
                <w:numId w:val="9"/>
              </w:numPr>
              <w:tabs>
                <w:tab w:val="left" w:pos="894"/>
                <w:tab w:val="left" w:pos="895"/>
              </w:tabs>
              <w:spacing w:before="2"/>
              <w:rPr>
                <w:sz w:val="24"/>
              </w:rPr>
            </w:pPr>
            <w:r w:rsidRPr="006276F6">
              <w:rPr>
                <w:sz w:val="24"/>
              </w:rPr>
              <w:t xml:space="preserve">Staff of Price Sector in Central Office: </w:t>
            </w:r>
            <w:r w:rsidR="00662F9B" w:rsidRPr="006276F6">
              <w:rPr>
                <w:sz w:val="24"/>
              </w:rPr>
              <w:t>2</w:t>
            </w:r>
            <w:r w:rsidRPr="006276F6">
              <w:rPr>
                <w:spacing w:val="-7"/>
                <w:sz w:val="24"/>
              </w:rPr>
              <w:t xml:space="preserve"> </w:t>
            </w:r>
            <w:r w:rsidRPr="006276F6">
              <w:rPr>
                <w:sz w:val="24"/>
              </w:rPr>
              <w:t>employees,</w:t>
            </w:r>
          </w:p>
          <w:p w14:paraId="0AF081FA" w14:textId="77777777" w:rsidR="0018721A" w:rsidRPr="006276F6" w:rsidRDefault="0018721A" w:rsidP="00EE3CE1">
            <w:pPr>
              <w:pStyle w:val="TableParagraph"/>
              <w:numPr>
                <w:ilvl w:val="0"/>
                <w:numId w:val="9"/>
              </w:numPr>
              <w:tabs>
                <w:tab w:val="left" w:pos="894"/>
                <w:tab w:val="left" w:pos="895"/>
              </w:tabs>
              <w:spacing w:before="1" w:line="293" w:lineRule="exact"/>
              <w:rPr>
                <w:sz w:val="24"/>
              </w:rPr>
            </w:pPr>
            <w:r w:rsidRPr="006276F6">
              <w:rPr>
                <w:sz w:val="24"/>
              </w:rPr>
              <w:t>Regional Office Staff: 10</w:t>
            </w:r>
            <w:r w:rsidRPr="006276F6">
              <w:rPr>
                <w:spacing w:val="-3"/>
                <w:sz w:val="24"/>
              </w:rPr>
              <w:t xml:space="preserve"> </w:t>
            </w:r>
            <w:r w:rsidRPr="006276F6">
              <w:rPr>
                <w:sz w:val="24"/>
              </w:rPr>
              <w:t>employees,</w:t>
            </w:r>
          </w:p>
          <w:p w14:paraId="2CF8FA28" w14:textId="47B70460" w:rsidR="0018721A" w:rsidRPr="00220742" w:rsidRDefault="0018721A" w:rsidP="00FB7C16">
            <w:pPr>
              <w:pStyle w:val="ListParagraph"/>
              <w:numPr>
                <w:ilvl w:val="0"/>
                <w:numId w:val="9"/>
              </w:numPr>
              <w:spacing w:line="240" w:lineRule="auto"/>
              <w:ind w:right="86"/>
              <w:jc w:val="both"/>
              <w:rPr>
                <w:rFonts w:ascii="Times New Roman" w:eastAsia="Times New Roman" w:hAnsi="Times New Roman" w:cs="Times New Roman"/>
                <w:noProof/>
                <w:color w:val="000000"/>
                <w:sz w:val="24"/>
                <w:szCs w:val="24"/>
                <w:lang w:val="sq-AL" w:eastAsia="sq-AL"/>
              </w:rPr>
            </w:pPr>
            <w:r w:rsidRPr="006276F6">
              <w:rPr>
                <w:rFonts w:ascii="Times New Roman" w:hAnsi="Times New Roman" w:cs="Times New Roman"/>
                <w:sz w:val="24"/>
              </w:rPr>
              <w:t>Interviewers: 12</w:t>
            </w:r>
            <w:r w:rsidRPr="006276F6">
              <w:rPr>
                <w:rFonts w:ascii="Times New Roman" w:hAnsi="Times New Roman" w:cs="Times New Roman"/>
                <w:spacing w:val="-5"/>
                <w:sz w:val="24"/>
              </w:rPr>
              <w:t xml:space="preserve"> </w:t>
            </w:r>
            <w:r w:rsidRPr="006276F6">
              <w:rPr>
                <w:rFonts w:ascii="Times New Roman" w:hAnsi="Times New Roman" w:cs="Times New Roman"/>
                <w:sz w:val="24"/>
              </w:rPr>
              <w:t>employees.</w:t>
            </w:r>
          </w:p>
        </w:tc>
      </w:tr>
      <w:tr w:rsidR="0018721A" w:rsidRPr="008C684F" w14:paraId="47A9976D" w14:textId="77777777" w:rsidTr="003B0BBB">
        <w:trPr>
          <w:trHeight w:val="809"/>
        </w:trPr>
        <w:tc>
          <w:tcPr>
            <w:tcW w:w="10391" w:type="dxa"/>
            <w:gridSpan w:val="2"/>
            <w:shd w:val="clear" w:color="auto" w:fill="FBD4B4" w:themeFill="accent6" w:themeFillTint="66"/>
            <w:vAlign w:val="center"/>
            <w:hideMark/>
          </w:tcPr>
          <w:p w14:paraId="60B62B57" w14:textId="77777777" w:rsidR="0018721A" w:rsidRPr="008C684F" w:rsidRDefault="0018721A" w:rsidP="0018721A">
            <w:pPr>
              <w:pStyle w:val="Heading1"/>
              <w:spacing w:before="0"/>
              <w:rPr>
                <w:rFonts w:ascii="Times New Roman" w:eastAsia="Times New Roman" w:hAnsi="Times New Roman" w:cs="Times New Roman"/>
                <w:noProof/>
                <w:color w:val="000000"/>
                <w:sz w:val="24"/>
                <w:szCs w:val="24"/>
                <w:lang w:val="sq-AL" w:eastAsia="sq-AL"/>
              </w:rPr>
            </w:pPr>
            <w:bookmarkStart w:id="16" w:name="_Toc37690492"/>
            <w:r w:rsidRPr="008C684F">
              <w:rPr>
                <w:rFonts w:ascii="Times New Roman" w:eastAsia="Times New Roman" w:hAnsi="Times New Roman" w:cs="Times New Roman"/>
                <w:noProof/>
                <w:color w:val="000000" w:themeColor="text1"/>
                <w:sz w:val="24"/>
                <w:szCs w:val="24"/>
                <w:lang w:val="sq-AL" w:eastAsia="sq-AL"/>
              </w:rPr>
              <w:t>17.</w:t>
            </w:r>
            <w:r w:rsidRPr="008C684F">
              <w:rPr>
                <w:rFonts w:ascii="Times New Roman" w:eastAsia="Times New Roman" w:hAnsi="Times New Roman" w:cs="Times New Roman"/>
                <w:b w:val="0"/>
                <w:bCs w:val="0"/>
                <w:noProof/>
                <w:color w:val="000000"/>
                <w:sz w:val="24"/>
                <w:szCs w:val="24"/>
                <w:lang w:val="sq-AL" w:eastAsia="sq-AL"/>
              </w:rPr>
              <w:t xml:space="preserve"> </w:t>
            </w:r>
            <w:r w:rsidRPr="008C684F">
              <w:rPr>
                <w:rFonts w:ascii="Times New Roman" w:eastAsia="Times New Roman" w:hAnsi="Times New Roman" w:cs="Times New Roman"/>
                <w:noProof/>
                <w:color w:val="000000" w:themeColor="text1"/>
                <w:sz w:val="24"/>
                <w:szCs w:val="24"/>
                <w:lang w:val="sq-AL" w:eastAsia="sq-AL"/>
              </w:rPr>
              <w:t>Data revision</w:t>
            </w:r>
            <w:bookmarkEnd w:id="16"/>
          </w:p>
        </w:tc>
      </w:tr>
      <w:tr w:rsidR="0018721A" w:rsidRPr="008C684F" w14:paraId="7C6A9E58" w14:textId="77777777" w:rsidTr="003B0BBB">
        <w:trPr>
          <w:trHeight w:val="1700"/>
        </w:trPr>
        <w:tc>
          <w:tcPr>
            <w:tcW w:w="2320" w:type="dxa"/>
            <w:shd w:val="clear" w:color="auto" w:fill="FFFFCC"/>
            <w:noWrap/>
            <w:vAlign w:val="center"/>
            <w:hideMark/>
          </w:tcPr>
          <w:p w14:paraId="5022FCE0"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tcPr>
          <w:p w14:paraId="2C2468BC" w14:textId="77777777" w:rsidR="0018721A" w:rsidRDefault="0018721A" w:rsidP="00FB7C16">
            <w:pPr>
              <w:pStyle w:val="TableParagraph"/>
              <w:spacing w:before="240"/>
              <w:ind w:left="101" w:right="86"/>
              <w:jc w:val="both"/>
              <w:rPr>
                <w:sz w:val="24"/>
              </w:rPr>
            </w:pPr>
            <w:r w:rsidRPr="008C684F">
              <w:rPr>
                <w:sz w:val="24"/>
              </w:rPr>
              <w:t xml:space="preserve">Revision policy of CPI/HICP is done in accordance with general revision policy and errors treatment policy introduced by INSTAT in the links below: </w:t>
            </w:r>
          </w:p>
          <w:p w14:paraId="218F3F35" w14:textId="77777777" w:rsidR="0018721A" w:rsidRDefault="00410953" w:rsidP="00EE3CE1">
            <w:pPr>
              <w:pStyle w:val="TableParagraph"/>
              <w:numPr>
                <w:ilvl w:val="0"/>
                <w:numId w:val="7"/>
              </w:numPr>
              <w:ind w:right="86"/>
              <w:jc w:val="both"/>
              <w:rPr>
                <w:sz w:val="24"/>
              </w:rPr>
            </w:pPr>
            <w:hyperlink r:id="rId22" w:history="1">
              <w:r w:rsidR="0018721A" w:rsidRPr="004554E3">
                <w:rPr>
                  <w:rStyle w:val="Hyperlink"/>
                  <w:sz w:val="24"/>
                </w:rPr>
                <w:t>Revision Policy</w:t>
              </w:r>
            </w:hyperlink>
            <w:r w:rsidR="0018721A">
              <w:rPr>
                <w:sz w:val="24"/>
              </w:rPr>
              <w:t xml:space="preserve"> </w:t>
            </w:r>
          </w:p>
          <w:p w14:paraId="4C5F3B16" w14:textId="77FC2CBA" w:rsidR="0018721A" w:rsidRPr="00FB7C16" w:rsidRDefault="00410953" w:rsidP="00FB7C16">
            <w:pPr>
              <w:pStyle w:val="TableParagraph"/>
              <w:numPr>
                <w:ilvl w:val="0"/>
                <w:numId w:val="7"/>
              </w:numPr>
              <w:ind w:right="86"/>
              <w:jc w:val="both"/>
              <w:rPr>
                <w:sz w:val="24"/>
              </w:rPr>
            </w:pPr>
            <w:hyperlink r:id="rId23" w:history="1">
              <w:r w:rsidR="0018721A" w:rsidRPr="004554E3">
                <w:rPr>
                  <w:rStyle w:val="Hyperlink"/>
                  <w:sz w:val="24"/>
                </w:rPr>
                <w:t xml:space="preserve">The </w:t>
              </w:r>
              <w:r w:rsidR="00E20C0A" w:rsidRPr="004554E3">
                <w:rPr>
                  <w:rStyle w:val="Hyperlink"/>
                  <w:sz w:val="24"/>
                </w:rPr>
                <w:t>errors</w:t>
              </w:r>
              <w:r w:rsidR="0018721A" w:rsidRPr="004554E3">
                <w:rPr>
                  <w:rStyle w:val="Hyperlink"/>
                  <w:sz w:val="24"/>
                </w:rPr>
                <w:t xml:space="preserve"> treatment policy</w:t>
              </w:r>
            </w:hyperlink>
            <w:r w:rsidR="0018721A" w:rsidRPr="004554E3">
              <w:rPr>
                <w:sz w:val="24"/>
              </w:rPr>
              <w:t xml:space="preserve"> </w:t>
            </w:r>
          </w:p>
        </w:tc>
      </w:tr>
      <w:tr w:rsidR="0018721A" w:rsidRPr="008C684F" w14:paraId="52F63562" w14:textId="77777777" w:rsidTr="003B0BBB">
        <w:trPr>
          <w:trHeight w:val="980"/>
        </w:trPr>
        <w:tc>
          <w:tcPr>
            <w:tcW w:w="2320" w:type="dxa"/>
            <w:shd w:val="clear" w:color="auto" w:fill="FFFFCC"/>
            <w:noWrap/>
            <w:vAlign w:val="center"/>
            <w:hideMark/>
          </w:tcPr>
          <w:p w14:paraId="214990A1"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tcPr>
          <w:p w14:paraId="1E3E314E" w14:textId="5F522535" w:rsidR="0018721A" w:rsidRPr="00AA3629" w:rsidRDefault="0018721A" w:rsidP="0018721A">
            <w:pPr>
              <w:pStyle w:val="TableParagraph"/>
              <w:spacing w:before="240" w:after="240"/>
              <w:ind w:left="101" w:right="86"/>
              <w:jc w:val="both"/>
              <w:rPr>
                <w:sz w:val="24"/>
              </w:rPr>
            </w:pPr>
            <w:r w:rsidRPr="008C684F">
              <w:rPr>
                <w:sz w:val="24"/>
              </w:rPr>
              <w:t>In CPI revisions are done in 2002, 2003 and 2004 because of changes</w:t>
            </w:r>
            <w:r>
              <w:rPr>
                <w:sz w:val="24"/>
              </w:rPr>
              <w:t xml:space="preserve"> </w:t>
            </w:r>
            <w:r w:rsidRPr="008C684F">
              <w:rPr>
                <w:sz w:val="24"/>
              </w:rPr>
              <w:t>in the methodology of calculation of imputed rents.</w:t>
            </w:r>
          </w:p>
        </w:tc>
      </w:tr>
      <w:tr w:rsidR="0018721A" w:rsidRPr="008C684F" w14:paraId="7D21AB83" w14:textId="77777777" w:rsidTr="003B0BBB">
        <w:trPr>
          <w:trHeight w:val="629"/>
        </w:trPr>
        <w:tc>
          <w:tcPr>
            <w:tcW w:w="10391" w:type="dxa"/>
            <w:gridSpan w:val="2"/>
            <w:shd w:val="clear" w:color="auto" w:fill="FBD4B4" w:themeFill="accent6" w:themeFillTint="66"/>
            <w:vAlign w:val="center"/>
            <w:hideMark/>
          </w:tcPr>
          <w:p w14:paraId="4A6AC558" w14:textId="291A9CB1" w:rsidR="0018721A" w:rsidRPr="008C684F" w:rsidRDefault="0018721A" w:rsidP="0018721A">
            <w:pPr>
              <w:pStyle w:val="Heading1"/>
              <w:spacing w:before="0"/>
              <w:rPr>
                <w:rFonts w:ascii="Times New Roman" w:eastAsia="Times New Roman" w:hAnsi="Times New Roman" w:cs="Times New Roman"/>
                <w:noProof/>
                <w:color w:val="000000"/>
                <w:sz w:val="24"/>
                <w:szCs w:val="24"/>
                <w:lang w:val="sq-AL" w:eastAsia="sq-AL"/>
              </w:rPr>
            </w:pPr>
            <w:bookmarkStart w:id="17" w:name="_Toc37690493"/>
            <w:r w:rsidRPr="008C684F">
              <w:rPr>
                <w:rFonts w:ascii="Times New Roman" w:eastAsia="Times New Roman" w:hAnsi="Times New Roman" w:cs="Times New Roman"/>
                <w:bCs w:val="0"/>
                <w:noProof/>
                <w:color w:val="000000"/>
                <w:sz w:val="24"/>
                <w:szCs w:val="24"/>
                <w:lang w:val="sq-AL" w:eastAsia="sq-AL"/>
              </w:rPr>
              <w:t xml:space="preserve">18. </w:t>
            </w:r>
            <w:r w:rsidRPr="008C684F">
              <w:rPr>
                <w:rFonts w:ascii="Times New Roman" w:eastAsia="Times New Roman" w:hAnsi="Times New Roman" w:cs="Times New Roman"/>
                <w:noProof/>
                <w:color w:val="000000" w:themeColor="text1"/>
                <w:sz w:val="24"/>
                <w:szCs w:val="24"/>
                <w:lang w:val="sq-AL" w:eastAsia="sq-AL"/>
              </w:rPr>
              <w:t>Statistical processing</w:t>
            </w:r>
            <w:bookmarkEnd w:id="17"/>
          </w:p>
        </w:tc>
      </w:tr>
      <w:tr w:rsidR="0018721A" w:rsidRPr="008C684F" w14:paraId="34E0B6BB" w14:textId="77777777" w:rsidTr="003B0BBB">
        <w:trPr>
          <w:trHeight w:val="2060"/>
        </w:trPr>
        <w:tc>
          <w:tcPr>
            <w:tcW w:w="2320" w:type="dxa"/>
            <w:shd w:val="clear" w:color="auto" w:fill="FFFFCC"/>
            <w:vAlign w:val="center"/>
            <w:hideMark/>
          </w:tcPr>
          <w:p w14:paraId="0FBDCC09" w14:textId="77777777" w:rsidR="0018721A" w:rsidRPr="008C684F" w:rsidRDefault="0018721A" w:rsidP="0018721A">
            <w:pPr>
              <w:spacing w:after="0"/>
              <w:rPr>
                <w:rFonts w:ascii="Times New Roman" w:hAnsi="Times New Roman" w:cs="Times New Roman"/>
                <w:noProof/>
                <w:sz w:val="24"/>
                <w:szCs w:val="24"/>
                <w:lang w:val="sq-AL"/>
              </w:rPr>
            </w:pPr>
            <w:r w:rsidRPr="008C684F">
              <w:rPr>
                <w:rFonts w:ascii="Times New Roman" w:hAnsi="Times New Roman" w:cs="Times New Roman"/>
                <w:noProof/>
                <w:sz w:val="24"/>
                <w:szCs w:val="24"/>
                <w:lang w:val="sq-AL"/>
              </w:rPr>
              <w:t>18.1. Source data </w:t>
            </w:r>
          </w:p>
        </w:tc>
        <w:tc>
          <w:tcPr>
            <w:tcW w:w="8071" w:type="dxa"/>
            <w:shd w:val="clear" w:color="auto" w:fill="auto"/>
            <w:vAlign w:val="center"/>
          </w:tcPr>
          <w:p w14:paraId="63693334" w14:textId="77777777" w:rsidR="0018721A" w:rsidRPr="00C52396" w:rsidRDefault="0018721A" w:rsidP="0018721A">
            <w:pPr>
              <w:pStyle w:val="TableParagraph"/>
              <w:spacing w:before="240" w:after="240"/>
              <w:ind w:left="101" w:right="86"/>
              <w:jc w:val="both"/>
              <w:rPr>
                <w:sz w:val="24"/>
                <w:highlight w:val="yellow"/>
              </w:rPr>
            </w:pPr>
            <w:r w:rsidRPr="00662F9B">
              <w:rPr>
                <w:sz w:val="24"/>
              </w:rPr>
              <w:t xml:space="preserve">Product selection is carried out by INSTAT, using the results of Household Budget Survey. Selection of outlets and products for each outlet is done from </w:t>
            </w:r>
            <w:r w:rsidRPr="001873DA">
              <w:rPr>
                <w:sz w:val="24"/>
              </w:rPr>
              <w:t>INSTAT with collaboration of Regional Statistical Offices.</w:t>
            </w:r>
          </w:p>
          <w:p w14:paraId="55DE3FBC" w14:textId="77777777" w:rsidR="0018721A" w:rsidRPr="001873DA" w:rsidRDefault="0018721A" w:rsidP="0018721A">
            <w:pPr>
              <w:pStyle w:val="TableParagraph"/>
              <w:ind w:left="101" w:right="86"/>
              <w:jc w:val="both"/>
              <w:rPr>
                <w:sz w:val="24"/>
              </w:rPr>
            </w:pPr>
            <w:r w:rsidRPr="001873DA">
              <w:rPr>
                <w:sz w:val="24"/>
              </w:rPr>
              <w:t>Main sources for calculation of the weights for CPI are HBS data and for HICP National Accounts data.</w:t>
            </w:r>
          </w:p>
          <w:p w14:paraId="4A3FF413" w14:textId="58EACF7A" w:rsidR="0018721A" w:rsidRPr="007D6E70" w:rsidRDefault="0018721A" w:rsidP="0018721A">
            <w:pPr>
              <w:pStyle w:val="TableParagraph"/>
              <w:ind w:left="101" w:right="86"/>
              <w:jc w:val="both"/>
              <w:rPr>
                <w:sz w:val="24"/>
              </w:rPr>
            </w:pPr>
            <w:r w:rsidRPr="006276F6">
              <w:rPr>
                <w:sz w:val="24"/>
              </w:rPr>
              <w:t>In 20</w:t>
            </w:r>
            <w:r w:rsidR="001873DA" w:rsidRPr="006276F6">
              <w:rPr>
                <w:sz w:val="24"/>
              </w:rPr>
              <w:t>20</w:t>
            </w:r>
            <w:r w:rsidRPr="006276F6">
              <w:rPr>
                <w:sz w:val="24"/>
              </w:rPr>
              <w:t xml:space="preserve"> the baskets have 33</w:t>
            </w:r>
            <w:r w:rsidR="00662F9B" w:rsidRPr="006276F6">
              <w:rPr>
                <w:sz w:val="24"/>
              </w:rPr>
              <w:t>1</w:t>
            </w:r>
            <w:r w:rsidRPr="006276F6">
              <w:rPr>
                <w:sz w:val="24"/>
              </w:rPr>
              <w:t xml:space="preserve"> products in CPI and 3</w:t>
            </w:r>
            <w:r w:rsidR="00662F9B" w:rsidRPr="006276F6">
              <w:rPr>
                <w:sz w:val="24"/>
              </w:rPr>
              <w:t>29</w:t>
            </w:r>
            <w:r w:rsidRPr="006276F6">
              <w:rPr>
                <w:sz w:val="24"/>
              </w:rPr>
              <w:t xml:space="preserve"> products in HICP. On average during the month we collect </w:t>
            </w:r>
            <w:r w:rsidRPr="007D6E70">
              <w:rPr>
                <w:sz w:val="24"/>
              </w:rPr>
              <w:t>about 22.</w:t>
            </w:r>
            <w:r w:rsidR="007D6E70" w:rsidRPr="007D6E70">
              <w:rPr>
                <w:sz w:val="24"/>
              </w:rPr>
              <w:t>8</w:t>
            </w:r>
            <w:r w:rsidR="00662F9B" w:rsidRPr="007D6E70">
              <w:rPr>
                <w:sz w:val="24"/>
              </w:rPr>
              <w:t>6</w:t>
            </w:r>
            <w:r w:rsidR="007D6E70" w:rsidRPr="007D6E70">
              <w:rPr>
                <w:sz w:val="24"/>
              </w:rPr>
              <w:t>5</w:t>
            </w:r>
            <w:r w:rsidRPr="007D6E70">
              <w:rPr>
                <w:sz w:val="24"/>
              </w:rPr>
              <w:t xml:space="preserve"> individual prices in about 3.500 outlets.</w:t>
            </w:r>
          </w:p>
          <w:p w14:paraId="67B9658F" w14:textId="07796070" w:rsidR="0080437B" w:rsidRPr="006276F6" w:rsidRDefault="0018721A" w:rsidP="0018721A">
            <w:pPr>
              <w:pStyle w:val="TableParagraph"/>
              <w:spacing w:before="120" w:after="120"/>
              <w:ind w:left="101" w:right="86"/>
              <w:jc w:val="both"/>
              <w:rPr>
                <w:sz w:val="24"/>
              </w:rPr>
            </w:pPr>
            <w:r w:rsidRPr="006276F6">
              <w:rPr>
                <w:sz w:val="24"/>
              </w:rPr>
              <w:t>Number of representative items at the lowest classification level: All- items: CPI 33</w:t>
            </w:r>
            <w:r w:rsidR="00662F9B" w:rsidRPr="006276F6">
              <w:rPr>
                <w:sz w:val="24"/>
              </w:rPr>
              <w:t>1</w:t>
            </w:r>
            <w:r w:rsidRPr="006276F6">
              <w:rPr>
                <w:sz w:val="24"/>
              </w:rPr>
              <w:t xml:space="preserve"> (HICP 3</w:t>
            </w:r>
            <w:r w:rsidR="00662F9B" w:rsidRPr="006276F6">
              <w:rPr>
                <w:sz w:val="24"/>
              </w:rPr>
              <w:t>29</w:t>
            </w:r>
            <w:r w:rsidRPr="006276F6">
              <w:rPr>
                <w:sz w:val="24"/>
              </w:rPr>
              <w:t xml:space="preserve">) </w:t>
            </w:r>
          </w:p>
          <w:p w14:paraId="12836282" w14:textId="04F28A89" w:rsidR="0018721A" w:rsidRPr="006276F6" w:rsidRDefault="0018721A" w:rsidP="0080437B">
            <w:pPr>
              <w:pStyle w:val="TableParagraph"/>
              <w:spacing w:before="120"/>
              <w:ind w:left="101" w:right="86"/>
              <w:jc w:val="both"/>
              <w:rPr>
                <w:sz w:val="24"/>
              </w:rPr>
            </w:pPr>
            <w:r w:rsidRPr="006276F6">
              <w:rPr>
                <w:sz w:val="24"/>
              </w:rPr>
              <w:lastRenderedPageBreak/>
              <w:t>01 Food and non-alcoholic beverages 101</w:t>
            </w:r>
          </w:p>
          <w:p w14:paraId="5566D464" w14:textId="77777777" w:rsidR="0018721A" w:rsidRPr="006276F6" w:rsidRDefault="0018721A" w:rsidP="00EE3CE1">
            <w:pPr>
              <w:pStyle w:val="TableParagraph"/>
              <w:numPr>
                <w:ilvl w:val="0"/>
                <w:numId w:val="12"/>
              </w:numPr>
              <w:tabs>
                <w:tab w:val="left" w:pos="410"/>
              </w:tabs>
              <w:jc w:val="both"/>
              <w:rPr>
                <w:sz w:val="24"/>
              </w:rPr>
            </w:pPr>
            <w:r w:rsidRPr="006276F6">
              <w:rPr>
                <w:sz w:val="24"/>
              </w:rPr>
              <w:t>Alcoholic beverages, tobacco</w:t>
            </w:r>
            <w:r w:rsidRPr="006276F6">
              <w:rPr>
                <w:spacing w:val="1"/>
                <w:sz w:val="24"/>
              </w:rPr>
              <w:t xml:space="preserve"> </w:t>
            </w:r>
            <w:r w:rsidRPr="006276F6">
              <w:rPr>
                <w:sz w:val="24"/>
              </w:rPr>
              <w:t>6</w:t>
            </w:r>
          </w:p>
          <w:p w14:paraId="64EEDEE3" w14:textId="77777777" w:rsidR="0018721A" w:rsidRPr="006276F6" w:rsidRDefault="0018721A" w:rsidP="00EE3CE1">
            <w:pPr>
              <w:pStyle w:val="TableParagraph"/>
              <w:numPr>
                <w:ilvl w:val="0"/>
                <w:numId w:val="12"/>
              </w:numPr>
              <w:tabs>
                <w:tab w:val="left" w:pos="410"/>
              </w:tabs>
              <w:jc w:val="both"/>
              <w:rPr>
                <w:sz w:val="24"/>
              </w:rPr>
            </w:pPr>
            <w:r w:rsidRPr="006276F6">
              <w:rPr>
                <w:sz w:val="24"/>
              </w:rPr>
              <w:t>Clothing and footwear</w:t>
            </w:r>
            <w:r w:rsidRPr="006276F6">
              <w:rPr>
                <w:spacing w:val="-3"/>
                <w:sz w:val="24"/>
              </w:rPr>
              <w:t xml:space="preserve"> </w:t>
            </w:r>
            <w:r w:rsidRPr="006276F6">
              <w:rPr>
                <w:sz w:val="24"/>
              </w:rPr>
              <w:t>40</w:t>
            </w:r>
          </w:p>
          <w:p w14:paraId="3AE98D25" w14:textId="77777777" w:rsidR="0018721A" w:rsidRPr="006276F6" w:rsidRDefault="0018721A" w:rsidP="00EE3CE1">
            <w:pPr>
              <w:pStyle w:val="TableParagraph"/>
              <w:numPr>
                <w:ilvl w:val="0"/>
                <w:numId w:val="12"/>
              </w:numPr>
              <w:tabs>
                <w:tab w:val="left" w:pos="410"/>
              </w:tabs>
              <w:jc w:val="both"/>
              <w:rPr>
                <w:sz w:val="24"/>
              </w:rPr>
            </w:pPr>
            <w:r w:rsidRPr="006276F6">
              <w:rPr>
                <w:sz w:val="24"/>
              </w:rPr>
              <w:t>Housing, water, electricity, gas and other fuels</w:t>
            </w:r>
            <w:r w:rsidRPr="006276F6">
              <w:rPr>
                <w:spacing w:val="-8"/>
                <w:sz w:val="24"/>
              </w:rPr>
              <w:t xml:space="preserve"> </w:t>
            </w:r>
            <w:r w:rsidRPr="006276F6">
              <w:rPr>
                <w:sz w:val="24"/>
              </w:rPr>
              <w:t>13(12)</w:t>
            </w:r>
          </w:p>
          <w:p w14:paraId="2CD8A6C0" w14:textId="77777777" w:rsidR="0018721A" w:rsidRPr="006276F6" w:rsidRDefault="0018721A" w:rsidP="00EE3CE1">
            <w:pPr>
              <w:pStyle w:val="TableParagraph"/>
              <w:numPr>
                <w:ilvl w:val="0"/>
                <w:numId w:val="12"/>
              </w:numPr>
              <w:tabs>
                <w:tab w:val="left" w:pos="422"/>
              </w:tabs>
              <w:ind w:left="107" w:right="93" w:firstLine="0"/>
              <w:jc w:val="both"/>
              <w:rPr>
                <w:sz w:val="24"/>
              </w:rPr>
            </w:pPr>
            <w:r w:rsidRPr="006276F6">
              <w:rPr>
                <w:sz w:val="24"/>
              </w:rPr>
              <w:t>Furnishings, household equipment and routine maintenance of the House</w:t>
            </w:r>
            <w:r w:rsidRPr="006276F6">
              <w:rPr>
                <w:spacing w:val="3"/>
                <w:sz w:val="24"/>
              </w:rPr>
              <w:t xml:space="preserve"> </w:t>
            </w:r>
            <w:r w:rsidRPr="006276F6">
              <w:rPr>
                <w:sz w:val="24"/>
              </w:rPr>
              <w:t>42</w:t>
            </w:r>
          </w:p>
          <w:p w14:paraId="0E81D338" w14:textId="77777777" w:rsidR="0018721A" w:rsidRPr="006276F6" w:rsidRDefault="0018721A" w:rsidP="00EE3CE1">
            <w:pPr>
              <w:pStyle w:val="TableParagraph"/>
              <w:numPr>
                <w:ilvl w:val="0"/>
                <w:numId w:val="12"/>
              </w:numPr>
              <w:tabs>
                <w:tab w:val="left" w:pos="410"/>
              </w:tabs>
              <w:jc w:val="both"/>
              <w:rPr>
                <w:sz w:val="24"/>
              </w:rPr>
            </w:pPr>
            <w:r w:rsidRPr="006276F6">
              <w:rPr>
                <w:sz w:val="24"/>
              </w:rPr>
              <w:t>Health</w:t>
            </w:r>
            <w:r w:rsidRPr="006276F6">
              <w:rPr>
                <w:spacing w:val="-2"/>
                <w:sz w:val="24"/>
              </w:rPr>
              <w:t xml:space="preserve"> </w:t>
            </w:r>
            <w:r w:rsidRPr="006276F6">
              <w:rPr>
                <w:sz w:val="24"/>
              </w:rPr>
              <w:t>12</w:t>
            </w:r>
          </w:p>
          <w:p w14:paraId="2590B90D" w14:textId="77777777" w:rsidR="0018721A" w:rsidRPr="006276F6" w:rsidRDefault="0018721A" w:rsidP="00EE3CE1">
            <w:pPr>
              <w:pStyle w:val="TableParagraph"/>
              <w:numPr>
                <w:ilvl w:val="0"/>
                <w:numId w:val="12"/>
              </w:numPr>
              <w:tabs>
                <w:tab w:val="left" w:pos="410"/>
              </w:tabs>
              <w:jc w:val="both"/>
              <w:rPr>
                <w:sz w:val="24"/>
              </w:rPr>
            </w:pPr>
            <w:r w:rsidRPr="006276F6">
              <w:rPr>
                <w:sz w:val="24"/>
              </w:rPr>
              <w:t>Transport</w:t>
            </w:r>
            <w:r w:rsidRPr="006276F6">
              <w:rPr>
                <w:spacing w:val="-1"/>
                <w:sz w:val="24"/>
              </w:rPr>
              <w:t xml:space="preserve"> </w:t>
            </w:r>
            <w:r w:rsidRPr="006276F6">
              <w:rPr>
                <w:sz w:val="24"/>
              </w:rPr>
              <w:t>20</w:t>
            </w:r>
          </w:p>
          <w:p w14:paraId="3C17F9EB" w14:textId="6F382A9C" w:rsidR="0018721A" w:rsidRPr="006276F6" w:rsidRDefault="0018721A" w:rsidP="00EE3CE1">
            <w:pPr>
              <w:pStyle w:val="TableParagraph"/>
              <w:numPr>
                <w:ilvl w:val="0"/>
                <w:numId w:val="12"/>
              </w:numPr>
              <w:tabs>
                <w:tab w:val="left" w:pos="410"/>
              </w:tabs>
              <w:jc w:val="both"/>
              <w:rPr>
                <w:sz w:val="24"/>
              </w:rPr>
            </w:pPr>
            <w:r w:rsidRPr="006276F6">
              <w:rPr>
                <w:sz w:val="24"/>
              </w:rPr>
              <w:t>Communications</w:t>
            </w:r>
            <w:r w:rsidRPr="006276F6">
              <w:rPr>
                <w:spacing w:val="-1"/>
                <w:sz w:val="24"/>
              </w:rPr>
              <w:t xml:space="preserve"> </w:t>
            </w:r>
            <w:r w:rsidR="0061375F" w:rsidRPr="006276F6">
              <w:rPr>
                <w:sz w:val="24"/>
              </w:rPr>
              <w:t>8</w:t>
            </w:r>
          </w:p>
          <w:p w14:paraId="7EDB902C" w14:textId="390BBA1B" w:rsidR="0018721A" w:rsidRPr="006276F6" w:rsidRDefault="0018721A" w:rsidP="00EE3CE1">
            <w:pPr>
              <w:pStyle w:val="TableParagraph"/>
              <w:numPr>
                <w:ilvl w:val="0"/>
                <w:numId w:val="12"/>
              </w:numPr>
              <w:tabs>
                <w:tab w:val="left" w:pos="410"/>
              </w:tabs>
              <w:jc w:val="both"/>
              <w:rPr>
                <w:sz w:val="24"/>
              </w:rPr>
            </w:pPr>
            <w:r w:rsidRPr="006276F6">
              <w:rPr>
                <w:sz w:val="24"/>
              </w:rPr>
              <w:t>Recreation and culture</w:t>
            </w:r>
            <w:r w:rsidRPr="006276F6">
              <w:rPr>
                <w:spacing w:val="-4"/>
                <w:sz w:val="24"/>
              </w:rPr>
              <w:t xml:space="preserve"> </w:t>
            </w:r>
            <w:r w:rsidRPr="006276F6">
              <w:rPr>
                <w:sz w:val="24"/>
              </w:rPr>
              <w:t>36</w:t>
            </w:r>
            <w:r w:rsidR="0061375F" w:rsidRPr="006276F6">
              <w:rPr>
                <w:sz w:val="24"/>
              </w:rPr>
              <w:t xml:space="preserve"> (35)</w:t>
            </w:r>
          </w:p>
          <w:p w14:paraId="4836E617" w14:textId="77777777" w:rsidR="0018721A" w:rsidRPr="006276F6" w:rsidRDefault="0018721A" w:rsidP="00EE3CE1">
            <w:pPr>
              <w:pStyle w:val="TableParagraph"/>
              <w:numPr>
                <w:ilvl w:val="0"/>
                <w:numId w:val="11"/>
              </w:numPr>
              <w:tabs>
                <w:tab w:val="left" w:pos="410"/>
              </w:tabs>
              <w:jc w:val="both"/>
              <w:rPr>
                <w:sz w:val="24"/>
              </w:rPr>
            </w:pPr>
            <w:r w:rsidRPr="006276F6">
              <w:rPr>
                <w:sz w:val="24"/>
              </w:rPr>
              <w:t>Education</w:t>
            </w:r>
            <w:r w:rsidRPr="006276F6">
              <w:rPr>
                <w:spacing w:val="-1"/>
                <w:sz w:val="24"/>
              </w:rPr>
              <w:t xml:space="preserve"> </w:t>
            </w:r>
            <w:r w:rsidRPr="006276F6">
              <w:rPr>
                <w:sz w:val="24"/>
              </w:rPr>
              <w:t>7</w:t>
            </w:r>
          </w:p>
          <w:p w14:paraId="7D25CECD" w14:textId="77777777" w:rsidR="0018721A" w:rsidRPr="006276F6" w:rsidRDefault="0018721A" w:rsidP="00EE3CE1">
            <w:pPr>
              <w:pStyle w:val="TableParagraph"/>
              <w:numPr>
                <w:ilvl w:val="0"/>
                <w:numId w:val="11"/>
              </w:numPr>
              <w:tabs>
                <w:tab w:val="left" w:pos="410"/>
              </w:tabs>
              <w:jc w:val="both"/>
              <w:rPr>
                <w:sz w:val="24"/>
              </w:rPr>
            </w:pPr>
            <w:r w:rsidRPr="006276F6">
              <w:rPr>
                <w:sz w:val="24"/>
              </w:rPr>
              <w:t>Restaurants and hotels</w:t>
            </w:r>
            <w:r w:rsidRPr="006276F6">
              <w:rPr>
                <w:spacing w:val="-2"/>
                <w:sz w:val="24"/>
              </w:rPr>
              <w:t xml:space="preserve"> </w:t>
            </w:r>
            <w:r w:rsidRPr="006276F6">
              <w:rPr>
                <w:sz w:val="24"/>
              </w:rPr>
              <w:t>19</w:t>
            </w:r>
          </w:p>
          <w:p w14:paraId="2E7B957F" w14:textId="74DC7D1B" w:rsidR="0018721A" w:rsidRPr="006276F6" w:rsidRDefault="0018721A" w:rsidP="00EE3CE1">
            <w:pPr>
              <w:pStyle w:val="TableParagraph"/>
              <w:numPr>
                <w:ilvl w:val="0"/>
                <w:numId w:val="11"/>
              </w:numPr>
              <w:tabs>
                <w:tab w:val="left" w:pos="410"/>
              </w:tabs>
              <w:jc w:val="both"/>
              <w:rPr>
                <w:sz w:val="24"/>
              </w:rPr>
            </w:pPr>
            <w:r w:rsidRPr="006276F6">
              <w:rPr>
                <w:sz w:val="24"/>
              </w:rPr>
              <w:t>Miscellaneous goods and services</w:t>
            </w:r>
            <w:r w:rsidRPr="006276F6">
              <w:rPr>
                <w:spacing w:val="-10"/>
                <w:sz w:val="24"/>
              </w:rPr>
              <w:t xml:space="preserve"> </w:t>
            </w:r>
            <w:r w:rsidRPr="006276F6">
              <w:rPr>
                <w:sz w:val="24"/>
              </w:rPr>
              <w:t>27</w:t>
            </w:r>
          </w:p>
          <w:p w14:paraId="2888D407" w14:textId="4F5F1F53" w:rsidR="0018721A" w:rsidRPr="007D6E70" w:rsidRDefault="0018721A" w:rsidP="00131AB9">
            <w:pPr>
              <w:pStyle w:val="TableParagraph"/>
              <w:spacing w:before="240"/>
              <w:ind w:left="101" w:right="86"/>
              <w:jc w:val="both"/>
              <w:rPr>
                <w:sz w:val="24"/>
              </w:rPr>
            </w:pPr>
            <w:r w:rsidRPr="007D6E70">
              <w:rPr>
                <w:sz w:val="24"/>
              </w:rPr>
              <w:t>Average number of price observations per month:</w:t>
            </w:r>
            <w:r w:rsidRPr="007D6E70">
              <w:rPr>
                <w:spacing w:val="-10"/>
                <w:sz w:val="24"/>
              </w:rPr>
              <w:t xml:space="preserve"> </w:t>
            </w:r>
            <w:r w:rsidRPr="007D6E70">
              <w:rPr>
                <w:sz w:val="24"/>
              </w:rPr>
              <w:t>22.</w:t>
            </w:r>
            <w:r w:rsidR="007D6E70">
              <w:rPr>
                <w:sz w:val="24"/>
              </w:rPr>
              <w:t>865</w:t>
            </w:r>
          </w:p>
          <w:p w14:paraId="756E6EA5" w14:textId="62A7E87A" w:rsidR="0018721A" w:rsidRPr="007D6E70" w:rsidRDefault="0018721A" w:rsidP="0018721A">
            <w:pPr>
              <w:pStyle w:val="TableParagraph"/>
              <w:ind w:right="1333"/>
              <w:rPr>
                <w:sz w:val="24"/>
              </w:rPr>
            </w:pPr>
            <w:r w:rsidRPr="007D6E70">
              <w:rPr>
                <w:sz w:val="24"/>
              </w:rPr>
              <w:t xml:space="preserve">  01 Food and non-alcoholic beverages: 7.</w:t>
            </w:r>
            <w:r w:rsidR="007D6E70">
              <w:rPr>
                <w:sz w:val="24"/>
              </w:rPr>
              <w:t>690</w:t>
            </w:r>
          </w:p>
          <w:p w14:paraId="2897A761" w14:textId="19716E39" w:rsidR="0018721A" w:rsidRPr="007D6E70" w:rsidRDefault="0018721A" w:rsidP="00EE3CE1">
            <w:pPr>
              <w:pStyle w:val="TableParagraph"/>
              <w:numPr>
                <w:ilvl w:val="0"/>
                <w:numId w:val="10"/>
              </w:numPr>
              <w:tabs>
                <w:tab w:val="left" w:pos="410"/>
              </w:tabs>
              <w:rPr>
                <w:sz w:val="24"/>
              </w:rPr>
            </w:pPr>
            <w:r w:rsidRPr="007D6E70">
              <w:rPr>
                <w:sz w:val="24"/>
              </w:rPr>
              <w:t>Alcoholic beverages, tobacco:</w:t>
            </w:r>
            <w:r w:rsidRPr="007D6E70">
              <w:rPr>
                <w:spacing w:val="2"/>
                <w:sz w:val="24"/>
              </w:rPr>
              <w:t xml:space="preserve"> </w:t>
            </w:r>
            <w:r w:rsidRPr="007D6E70">
              <w:rPr>
                <w:sz w:val="24"/>
              </w:rPr>
              <w:t>44</w:t>
            </w:r>
            <w:r w:rsidR="007D6E70">
              <w:rPr>
                <w:sz w:val="24"/>
              </w:rPr>
              <w:t>7</w:t>
            </w:r>
          </w:p>
          <w:p w14:paraId="5CFCFC65" w14:textId="6589669F" w:rsidR="0018721A" w:rsidRPr="007D6E70" w:rsidRDefault="0018721A" w:rsidP="00EE3CE1">
            <w:pPr>
              <w:pStyle w:val="TableParagraph"/>
              <w:numPr>
                <w:ilvl w:val="0"/>
                <w:numId w:val="10"/>
              </w:numPr>
              <w:tabs>
                <w:tab w:val="left" w:pos="410"/>
              </w:tabs>
              <w:rPr>
                <w:sz w:val="24"/>
              </w:rPr>
            </w:pPr>
            <w:r w:rsidRPr="007D6E70">
              <w:rPr>
                <w:sz w:val="24"/>
              </w:rPr>
              <w:t>Clothing and footwear:</w:t>
            </w:r>
            <w:r w:rsidRPr="007D6E70">
              <w:rPr>
                <w:spacing w:val="-3"/>
                <w:sz w:val="24"/>
              </w:rPr>
              <w:t xml:space="preserve"> </w:t>
            </w:r>
            <w:r w:rsidRPr="007D6E70">
              <w:rPr>
                <w:sz w:val="24"/>
              </w:rPr>
              <w:t>2.7</w:t>
            </w:r>
            <w:r w:rsidR="007D6E70">
              <w:rPr>
                <w:sz w:val="24"/>
              </w:rPr>
              <w:t>81</w:t>
            </w:r>
          </w:p>
          <w:p w14:paraId="706B8575" w14:textId="2DFD417A" w:rsidR="0018721A" w:rsidRPr="007D6E70" w:rsidRDefault="0018721A" w:rsidP="00EE3CE1">
            <w:pPr>
              <w:pStyle w:val="TableParagraph"/>
              <w:numPr>
                <w:ilvl w:val="0"/>
                <w:numId w:val="10"/>
              </w:numPr>
              <w:tabs>
                <w:tab w:val="left" w:pos="410"/>
              </w:tabs>
              <w:rPr>
                <w:sz w:val="24"/>
              </w:rPr>
            </w:pPr>
            <w:r w:rsidRPr="007D6E70">
              <w:rPr>
                <w:sz w:val="24"/>
              </w:rPr>
              <w:t>Housing, water, electricity, gas and other fuels</w:t>
            </w:r>
            <w:r w:rsidRPr="007D6E70">
              <w:rPr>
                <w:spacing w:val="-9"/>
                <w:sz w:val="24"/>
              </w:rPr>
              <w:t xml:space="preserve"> </w:t>
            </w:r>
            <w:r w:rsidRPr="007D6E70">
              <w:rPr>
                <w:sz w:val="24"/>
              </w:rPr>
              <w:t>6</w:t>
            </w:r>
            <w:r w:rsidR="0061375F" w:rsidRPr="007D6E70">
              <w:rPr>
                <w:sz w:val="24"/>
              </w:rPr>
              <w:t>3</w:t>
            </w:r>
            <w:r w:rsidR="007D6E70">
              <w:rPr>
                <w:sz w:val="24"/>
              </w:rPr>
              <w:t>9</w:t>
            </w:r>
          </w:p>
          <w:p w14:paraId="28657613" w14:textId="28C7939E" w:rsidR="0018721A" w:rsidRPr="007D6E70" w:rsidRDefault="0018721A" w:rsidP="00E20C0A">
            <w:pPr>
              <w:pStyle w:val="TableParagraph"/>
              <w:spacing w:line="266" w:lineRule="exact"/>
              <w:jc w:val="both"/>
            </w:pPr>
            <w:r w:rsidRPr="007D6E70">
              <w:rPr>
                <w:sz w:val="24"/>
              </w:rPr>
              <w:t xml:space="preserve"> 05 </w:t>
            </w:r>
            <w:r w:rsidRPr="007D6E70">
              <w:rPr>
                <w:sz w:val="24"/>
                <w:szCs w:val="24"/>
              </w:rPr>
              <w:t>Furnishings,</w:t>
            </w:r>
            <w:r w:rsidRPr="007D6E70">
              <w:rPr>
                <w:spacing w:val="27"/>
                <w:sz w:val="24"/>
                <w:szCs w:val="24"/>
              </w:rPr>
              <w:t xml:space="preserve"> </w:t>
            </w:r>
            <w:r w:rsidRPr="007D6E70">
              <w:rPr>
                <w:sz w:val="24"/>
                <w:szCs w:val="24"/>
              </w:rPr>
              <w:t>household equipment</w:t>
            </w:r>
            <w:r w:rsidRPr="007D6E70">
              <w:t xml:space="preserve"> </w:t>
            </w:r>
            <w:r w:rsidRPr="007D6E70">
              <w:rPr>
                <w:sz w:val="24"/>
                <w:szCs w:val="24"/>
              </w:rPr>
              <w:t>and routine maintenance</w:t>
            </w:r>
            <w:r w:rsidRPr="007D6E70">
              <w:t xml:space="preserve"> of the House</w:t>
            </w:r>
            <w:r w:rsidR="002531AE" w:rsidRPr="007D6E70">
              <w:t xml:space="preserve"> </w:t>
            </w:r>
            <w:r w:rsidRPr="007D6E70">
              <w:t>2.7</w:t>
            </w:r>
            <w:r w:rsidR="007D6E70">
              <w:t>91</w:t>
            </w:r>
          </w:p>
          <w:p w14:paraId="576F91F0" w14:textId="207A8AB0" w:rsidR="0018721A" w:rsidRPr="007D6E70" w:rsidRDefault="0018721A" w:rsidP="00EE3CE1">
            <w:pPr>
              <w:pStyle w:val="TableParagraph"/>
              <w:numPr>
                <w:ilvl w:val="0"/>
                <w:numId w:val="14"/>
              </w:numPr>
              <w:tabs>
                <w:tab w:val="left" w:pos="410"/>
              </w:tabs>
              <w:rPr>
                <w:sz w:val="24"/>
              </w:rPr>
            </w:pPr>
            <w:r w:rsidRPr="007D6E70">
              <w:rPr>
                <w:sz w:val="24"/>
              </w:rPr>
              <w:t>Health</w:t>
            </w:r>
            <w:r w:rsidRPr="007D6E70">
              <w:rPr>
                <w:spacing w:val="-2"/>
                <w:sz w:val="24"/>
              </w:rPr>
              <w:t xml:space="preserve"> </w:t>
            </w:r>
            <w:r w:rsidRPr="007D6E70">
              <w:rPr>
                <w:sz w:val="24"/>
              </w:rPr>
              <w:t>78</w:t>
            </w:r>
            <w:r w:rsidR="0061375F" w:rsidRPr="007D6E70">
              <w:rPr>
                <w:sz w:val="24"/>
              </w:rPr>
              <w:t>1</w:t>
            </w:r>
          </w:p>
          <w:p w14:paraId="6E3E98A0" w14:textId="6CE368BA" w:rsidR="0018721A" w:rsidRPr="007D6E70" w:rsidRDefault="0018721A" w:rsidP="00EE3CE1">
            <w:pPr>
              <w:pStyle w:val="TableParagraph"/>
              <w:numPr>
                <w:ilvl w:val="0"/>
                <w:numId w:val="14"/>
              </w:numPr>
              <w:tabs>
                <w:tab w:val="left" w:pos="410"/>
              </w:tabs>
              <w:rPr>
                <w:sz w:val="24"/>
              </w:rPr>
            </w:pPr>
            <w:r w:rsidRPr="007D6E70">
              <w:rPr>
                <w:sz w:val="24"/>
              </w:rPr>
              <w:t>Transport</w:t>
            </w:r>
            <w:r w:rsidRPr="007D6E70">
              <w:rPr>
                <w:spacing w:val="-2"/>
                <w:sz w:val="24"/>
              </w:rPr>
              <w:t xml:space="preserve"> </w:t>
            </w:r>
            <w:r w:rsidRPr="007D6E70">
              <w:rPr>
                <w:sz w:val="24"/>
              </w:rPr>
              <w:t>1.2</w:t>
            </w:r>
            <w:r w:rsidR="007D6E70">
              <w:rPr>
                <w:sz w:val="24"/>
              </w:rPr>
              <w:t>72</w:t>
            </w:r>
          </w:p>
          <w:p w14:paraId="7272164D" w14:textId="010E0FBD" w:rsidR="0018721A" w:rsidRPr="007D6E70" w:rsidRDefault="0018721A" w:rsidP="00EE3CE1">
            <w:pPr>
              <w:pStyle w:val="TableParagraph"/>
              <w:numPr>
                <w:ilvl w:val="0"/>
                <w:numId w:val="14"/>
              </w:numPr>
              <w:tabs>
                <w:tab w:val="left" w:pos="410"/>
              </w:tabs>
              <w:rPr>
                <w:sz w:val="24"/>
              </w:rPr>
            </w:pPr>
            <w:r w:rsidRPr="007D6E70">
              <w:rPr>
                <w:sz w:val="24"/>
              </w:rPr>
              <w:t>Communication</w:t>
            </w:r>
            <w:r w:rsidRPr="007D6E70">
              <w:rPr>
                <w:spacing w:val="-1"/>
                <w:sz w:val="24"/>
              </w:rPr>
              <w:t xml:space="preserve"> </w:t>
            </w:r>
            <w:r w:rsidRPr="007D6E70">
              <w:rPr>
                <w:sz w:val="24"/>
              </w:rPr>
              <w:t>4</w:t>
            </w:r>
            <w:r w:rsidR="007D6E70">
              <w:rPr>
                <w:sz w:val="24"/>
              </w:rPr>
              <w:t>1</w:t>
            </w:r>
            <w:r w:rsidR="0061375F" w:rsidRPr="007D6E70">
              <w:rPr>
                <w:sz w:val="24"/>
              </w:rPr>
              <w:t>2</w:t>
            </w:r>
          </w:p>
          <w:p w14:paraId="1DCE82A2" w14:textId="73C0DEFE" w:rsidR="0018721A" w:rsidRPr="007D6E70" w:rsidRDefault="0018721A" w:rsidP="00EE3CE1">
            <w:pPr>
              <w:pStyle w:val="TableParagraph"/>
              <w:numPr>
                <w:ilvl w:val="0"/>
                <w:numId w:val="14"/>
              </w:numPr>
              <w:tabs>
                <w:tab w:val="left" w:pos="410"/>
              </w:tabs>
              <w:rPr>
                <w:sz w:val="24"/>
              </w:rPr>
            </w:pPr>
            <w:r w:rsidRPr="007D6E70">
              <w:rPr>
                <w:sz w:val="24"/>
              </w:rPr>
              <w:t>Recreation and culture</w:t>
            </w:r>
            <w:r w:rsidRPr="007D6E70">
              <w:rPr>
                <w:spacing w:val="-4"/>
                <w:sz w:val="24"/>
              </w:rPr>
              <w:t xml:space="preserve"> </w:t>
            </w:r>
            <w:r w:rsidRPr="007D6E70">
              <w:rPr>
                <w:sz w:val="24"/>
              </w:rPr>
              <w:t>2.</w:t>
            </w:r>
            <w:r w:rsidR="0061375F" w:rsidRPr="007D6E70">
              <w:rPr>
                <w:sz w:val="24"/>
              </w:rPr>
              <w:t>1</w:t>
            </w:r>
            <w:r w:rsidR="007D6E70">
              <w:rPr>
                <w:sz w:val="24"/>
              </w:rPr>
              <w:t>08</w:t>
            </w:r>
          </w:p>
          <w:p w14:paraId="167641AB" w14:textId="76D52565" w:rsidR="0018721A" w:rsidRPr="007D6E70" w:rsidRDefault="0018721A" w:rsidP="00EE3CE1">
            <w:pPr>
              <w:pStyle w:val="TableParagraph"/>
              <w:numPr>
                <w:ilvl w:val="0"/>
                <w:numId w:val="13"/>
              </w:numPr>
              <w:tabs>
                <w:tab w:val="left" w:pos="410"/>
              </w:tabs>
              <w:rPr>
                <w:sz w:val="24"/>
              </w:rPr>
            </w:pPr>
            <w:r w:rsidRPr="007D6E70">
              <w:rPr>
                <w:sz w:val="24"/>
              </w:rPr>
              <w:t>Education</w:t>
            </w:r>
            <w:r w:rsidRPr="007D6E70">
              <w:rPr>
                <w:spacing w:val="-1"/>
                <w:sz w:val="24"/>
              </w:rPr>
              <w:t xml:space="preserve"> </w:t>
            </w:r>
            <w:r w:rsidRPr="007D6E70">
              <w:rPr>
                <w:sz w:val="24"/>
              </w:rPr>
              <w:t>30</w:t>
            </w:r>
            <w:r w:rsidR="007D6E70">
              <w:rPr>
                <w:sz w:val="24"/>
              </w:rPr>
              <w:t>5</w:t>
            </w:r>
          </w:p>
          <w:p w14:paraId="51C1F52B" w14:textId="63C5C50A" w:rsidR="0018721A" w:rsidRPr="007D6E70" w:rsidRDefault="0018721A" w:rsidP="00EE3CE1">
            <w:pPr>
              <w:pStyle w:val="TableParagraph"/>
              <w:numPr>
                <w:ilvl w:val="0"/>
                <w:numId w:val="13"/>
              </w:numPr>
              <w:tabs>
                <w:tab w:val="left" w:pos="410"/>
              </w:tabs>
              <w:rPr>
                <w:sz w:val="24"/>
              </w:rPr>
            </w:pPr>
            <w:r w:rsidRPr="007D6E70">
              <w:rPr>
                <w:sz w:val="24"/>
              </w:rPr>
              <w:t>Restaurants and hotels</w:t>
            </w:r>
            <w:r w:rsidRPr="007D6E70">
              <w:rPr>
                <w:spacing w:val="-2"/>
                <w:sz w:val="24"/>
              </w:rPr>
              <w:t xml:space="preserve"> </w:t>
            </w:r>
            <w:r w:rsidRPr="007D6E70">
              <w:rPr>
                <w:sz w:val="24"/>
              </w:rPr>
              <w:t>1.</w:t>
            </w:r>
            <w:r w:rsidR="0061375F" w:rsidRPr="007D6E70">
              <w:rPr>
                <w:sz w:val="24"/>
              </w:rPr>
              <w:t>49</w:t>
            </w:r>
            <w:r w:rsidR="007D6E70">
              <w:rPr>
                <w:sz w:val="24"/>
              </w:rPr>
              <w:t>3</w:t>
            </w:r>
          </w:p>
          <w:p w14:paraId="49B86055" w14:textId="68E16079" w:rsidR="0018721A" w:rsidRPr="00662F9B" w:rsidRDefault="0018721A" w:rsidP="0018721A">
            <w:pPr>
              <w:pStyle w:val="TableParagraph"/>
              <w:tabs>
                <w:tab w:val="left" w:pos="410"/>
              </w:tabs>
              <w:ind w:left="106"/>
              <w:jc w:val="both"/>
              <w:rPr>
                <w:sz w:val="24"/>
              </w:rPr>
            </w:pPr>
            <w:r w:rsidRPr="007D6E70">
              <w:rPr>
                <w:sz w:val="24"/>
              </w:rPr>
              <w:t>12 Miscellaneous goods and services</w:t>
            </w:r>
            <w:r w:rsidRPr="007D6E70">
              <w:rPr>
                <w:spacing w:val="-2"/>
                <w:sz w:val="24"/>
              </w:rPr>
              <w:t xml:space="preserve"> </w:t>
            </w:r>
            <w:r w:rsidRPr="007D6E70">
              <w:rPr>
                <w:sz w:val="24"/>
              </w:rPr>
              <w:t>2.</w:t>
            </w:r>
            <w:r w:rsidR="0061375F" w:rsidRPr="007D6E70">
              <w:rPr>
                <w:sz w:val="24"/>
              </w:rPr>
              <w:t>14</w:t>
            </w:r>
            <w:r w:rsidR="007D6E70">
              <w:rPr>
                <w:sz w:val="24"/>
              </w:rPr>
              <w:t>6</w:t>
            </w:r>
          </w:p>
          <w:p w14:paraId="7F492A17" w14:textId="0AEDA0B7" w:rsidR="0018721A" w:rsidRPr="00662F9B" w:rsidRDefault="0018721A" w:rsidP="0018721A">
            <w:pPr>
              <w:pStyle w:val="TableParagraph"/>
              <w:ind w:right="83"/>
              <w:jc w:val="both"/>
              <w:rPr>
                <w:noProof/>
                <w:sz w:val="24"/>
                <w:szCs w:val="24"/>
                <w:lang w:val="sq-AL"/>
              </w:rPr>
            </w:pPr>
          </w:p>
        </w:tc>
      </w:tr>
      <w:tr w:rsidR="0018721A" w:rsidRPr="008C684F" w14:paraId="51229046" w14:textId="77777777" w:rsidTr="003B0BBB">
        <w:trPr>
          <w:trHeight w:val="431"/>
        </w:trPr>
        <w:tc>
          <w:tcPr>
            <w:tcW w:w="2320" w:type="dxa"/>
            <w:shd w:val="clear" w:color="auto" w:fill="FFFFCC"/>
            <w:vAlign w:val="center"/>
            <w:hideMark/>
          </w:tcPr>
          <w:p w14:paraId="2BCEFFDF"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18.2. Frequency of data collection</w:t>
            </w:r>
          </w:p>
        </w:tc>
        <w:tc>
          <w:tcPr>
            <w:tcW w:w="8071" w:type="dxa"/>
            <w:shd w:val="clear" w:color="auto" w:fill="auto"/>
            <w:noWrap/>
            <w:vAlign w:val="center"/>
          </w:tcPr>
          <w:p w14:paraId="7618CBA5" w14:textId="77777777" w:rsidR="0018721A" w:rsidRPr="00662F9B" w:rsidRDefault="0018721A" w:rsidP="00131AB9">
            <w:pPr>
              <w:pStyle w:val="TableParagraph"/>
              <w:spacing w:before="240"/>
              <w:ind w:left="101" w:right="86"/>
              <w:jc w:val="both"/>
              <w:rPr>
                <w:sz w:val="24"/>
              </w:rPr>
            </w:pPr>
            <w:r w:rsidRPr="00662F9B">
              <w:rPr>
                <w:sz w:val="24"/>
              </w:rPr>
              <w:t>Prices of most goods and services are collected each month between the 10th and 25th of the month by full-time price collectors employed by INSTAT.</w:t>
            </w:r>
          </w:p>
          <w:p w14:paraId="3049812A" w14:textId="77777777" w:rsidR="0018721A" w:rsidRPr="00662F9B" w:rsidRDefault="0018721A" w:rsidP="00131AB9">
            <w:pPr>
              <w:pStyle w:val="TableParagraph"/>
              <w:spacing w:before="240"/>
              <w:ind w:left="101" w:right="86"/>
              <w:jc w:val="both"/>
              <w:rPr>
                <w:sz w:val="24"/>
              </w:rPr>
            </w:pPr>
            <w:r w:rsidRPr="00662F9B">
              <w:rPr>
                <w:sz w:val="24"/>
              </w:rPr>
              <w:t>However, in the case of fresh vegetables and fruits price collection is done 2-3 times a month, and average price is used for calculation.</w:t>
            </w:r>
          </w:p>
          <w:p w14:paraId="0EECE46E" w14:textId="77777777" w:rsidR="0018721A" w:rsidRPr="00662F9B" w:rsidRDefault="0018721A" w:rsidP="00131AB9">
            <w:pPr>
              <w:pStyle w:val="TableParagraph"/>
              <w:spacing w:before="240"/>
              <w:ind w:left="101" w:right="86"/>
              <w:jc w:val="both"/>
              <w:rPr>
                <w:sz w:val="24"/>
              </w:rPr>
            </w:pPr>
            <w:r w:rsidRPr="00662F9B">
              <w:rPr>
                <w:sz w:val="24"/>
              </w:rPr>
              <w:t>Air-</w:t>
            </w:r>
            <w:proofErr w:type="spellStart"/>
            <w:r w:rsidRPr="00662F9B">
              <w:rPr>
                <w:sz w:val="24"/>
              </w:rPr>
              <w:t>fair</w:t>
            </w:r>
            <w:proofErr w:type="spellEnd"/>
            <w:r w:rsidRPr="00662F9B">
              <w:rPr>
                <w:sz w:val="24"/>
              </w:rPr>
              <w:t xml:space="preserve"> tickets and sea-</w:t>
            </w:r>
            <w:proofErr w:type="spellStart"/>
            <w:r w:rsidRPr="00662F9B">
              <w:rPr>
                <w:sz w:val="24"/>
              </w:rPr>
              <w:t>fair</w:t>
            </w:r>
            <w:proofErr w:type="spellEnd"/>
            <w:r w:rsidRPr="00662F9B">
              <w:rPr>
                <w:sz w:val="24"/>
              </w:rPr>
              <w:t xml:space="preserve"> tickets are collected in two months in advanced.</w:t>
            </w:r>
          </w:p>
          <w:p w14:paraId="3F3AE2FB" w14:textId="7C3FA09D" w:rsidR="0018721A" w:rsidRPr="00662F9B" w:rsidRDefault="0018721A" w:rsidP="00131AB9">
            <w:pPr>
              <w:spacing w:before="240" w:line="240" w:lineRule="auto"/>
              <w:ind w:left="101" w:right="86"/>
              <w:jc w:val="both"/>
              <w:rPr>
                <w:rFonts w:ascii="Times New Roman" w:eastAsia="Times New Roman" w:hAnsi="Times New Roman" w:cs="Times New Roman"/>
                <w:noProof/>
                <w:sz w:val="24"/>
                <w:szCs w:val="24"/>
                <w:lang w:val="sq-AL" w:eastAsia="sq-AL"/>
              </w:rPr>
            </w:pPr>
            <w:r w:rsidRPr="00662F9B">
              <w:rPr>
                <w:rFonts w:ascii="Times New Roman" w:hAnsi="Times New Roman" w:cs="Times New Roman"/>
                <w:sz w:val="24"/>
              </w:rPr>
              <w:t>Prices for some products such as; university tariffs, price of school books, dormitory tariffs are collected one time in the year</w:t>
            </w:r>
          </w:p>
        </w:tc>
      </w:tr>
      <w:tr w:rsidR="0018721A" w:rsidRPr="008C684F" w14:paraId="1C1D9EB1" w14:textId="77777777" w:rsidTr="003B0BBB">
        <w:trPr>
          <w:trHeight w:val="1250"/>
        </w:trPr>
        <w:tc>
          <w:tcPr>
            <w:tcW w:w="2320" w:type="dxa"/>
            <w:shd w:val="clear" w:color="auto" w:fill="FFFFCC"/>
            <w:vAlign w:val="center"/>
            <w:hideMark/>
          </w:tcPr>
          <w:p w14:paraId="3605A625"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tcPr>
          <w:p w14:paraId="554FB212" w14:textId="77777777" w:rsidR="0018721A" w:rsidRPr="00662F9B" w:rsidRDefault="0018721A" w:rsidP="0018721A">
            <w:pPr>
              <w:pStyle w:val="TableParagraph"/>
              <w:spacing w:before="240" w:after="240" w:line="270" w:lineRule="exact"/>
              <w:ind w:left="101" w:right="86"/>
              <w:jc w:val="both"/>
              <w:rPr>
                <w:b/>
                <w:sz w:val="24"/>
              </w:rPr>
            </w:pPr>
            <w:r w:rsidRPr="00662F9B">
              <w:rPr>
                <w:b/>
                <w:sz w:val="24"/>
              </w:rPr>
              <w:t>Outlet selection</w:t>
            </w:r>
          </w:p>
          <w:p w14:paraId="62BEC848" w14:textId="7E50559A" w:rsidR="0018721A" w:rsidRPr="00662F9B" w:rsidRDefault="0018721A" w:rsidP="0018721A">
            <w:pPr>
              <w:pStyle w:val="TableParagraph"/>
              <w:spacing w:before="240" w:after="240"/>
              <w:ind w:left="101" w:right="86"/>
              <w:jc w:val="both"/>
              <w:rPr>
                <w:sz w:val="24"/>
              </w:rPr>
            </w:pPr>
            <w:r w:rsidRPr="00662F9B">
              <w:rPr>
                <w:sz w:val="24"/>
              </w:rPr>
              <w:t>Data are collected from the most representative retail outlets in country. In the absence of a real register of outlets, the selection of them is done on the basis of the knowledge of price collection and regional statistical specialist, based on instructions prepared for this aim from staff of Price Unit at INSTAT. The main criteria for selection of outlets in each locality are the coverage of the available 10 shopping areas within each location and the representation of different types of outlets.</w:t>
            </w:r>
          </w:p>
          <w:p w14:paraId="4C166313" w14:textId="77777777" w:rsidR="0018721A" w:rsidRPr="00662F9B" w:rsidRDefault="0018721A" w:rsidP="0018721A">
            <w:pPr>
              <w:pStyle w:val="TableParagraph"/>
              <w:ind w:left="101" w:right="86"/>
              <w:jc w:val="both"/>
              <w:rPr>
                <w:sz w:val="24"/>
              </w:rPr>
            </w:pPr>
            <w:r w:rsidRPr="00662F9B">
              <w:rPr>
                <w:sz w:val="24"/>
              </w:rPr>
              <w:t>Three criteria are used in the outlet selection process:</w:t>
            </w:r>
          </w:p>
          <w:p w14:paraId="3D2E4CDA" w14:textId="77777777" w:rsidR="00C32887" w:rsidRPr="00662F9B" w:rsidRDefault="0018721A" w:rsidP="00EE3CE1">
            <w:pPr>
              <w:pStyle w:val="TableParagraph"/>
              <w:numPr>
                <w:ilvl w:val="0"/>
                <w:numId w:val="21"/>
              </w:numPr>
              <w:tabs>
                <w:tab w:val="left" w:pos="895"/>
              </w:tabs>
              <w:jc w:val="both"/>
              <w:rPr>
                <w:sz w:val="24"/>
              </w:rPr>
            </w:pPr>
            <w:r w:rsidRPr="00662F9B">
              <w:rPr>
                <w:sz w:val="24"/>
              </w:rPr>
              <w:t>Popularity with</w:t>
            </w:r>
            <w:r w:rsidRPr="00662F9B">
              <w:rPr>
                <w:spacing w:val="-1"/>
                <w:sz w:val="24"/>
              </w:rPr>
              <w:t xml:space="preserve"> </w:t>
            </w:r>
            <w:r w:rsidRPr="00662F9B">
              <w:rPr>
                <w:sz w:val="24"/>
              </w:rPr>
              <w:t>buyers</w:t>
            </w:r>
          </w:p>
          <w:p w14:paraId="07DB0330" w14:textId="77777777" w:rsidR="00C32887" w:rsidRPr="00662F9B" w:rsidRDefault="0018721A" w:rsidP="00EE3CE1">
            <w:pPr>
              <w:pStyle w:val="TableParagraph"/>
              <w:numPr>
                <w:ilvl w:val="0"/>
                <w:numId w:val="21"/>
              </w:numPr>
              <w:tabs>
                <w:tab w:val="left" w:pos="895"/>
              </w:tabs>
              <w:jc w:val="both"/>
              <w:rPr>
                <w:sz w:val="24"/>
              </w:rPr>
            </w:pPr>
            <w:r w:rsidRPr="00662F9B">
              <w:rPr>
                <w:sz w:val="24"/>
              </w:rPr>
              <w:t>Turnover</w:t>
            </w:r>
          </w:p>
          <w:p w14:paraId="4CF96E08" w14:textId="02EAE189" w:rsidR="0018721A" w:rsidRPr="00662F9B" w:rsidRDefault="0018721A" w:rsidP="00EE3CE1">
            <w:pPr>
              <w:pStyle w:val="TableParagraph"/>
              <w:numPr>
                <w:ilvl w:val="0"/>
                <w:numId w:val="21"/>
              </w:numPr>
              <w:tabs>
                <w:tab w:val="left" w:pos="895"/>
              </w:tabs>
              <w:jc w:val="both"/>
              <w:rPr>
                <w:sz w:val="24"/>
              </w:rPr>
            </w:pPr>
            <w:r w:rsidRPr="00662F9B">
              <w:rPr>
                <w:sz w:val="24"/>
              </w:rPr>
              <w:lastRenderedPageBreak/>
              <w:t>The availability of goods and services included in basket of CPI/HICP</w:t>
            </w:r>
          </w:p>
          <w:p w14:paraId="17FF1089" w14:textId="0D4FDC97" w:rsidR="0018721A" w:rsidRPr="00662F9B" w:rsidRDefault="0018721A" w:rsidP="00131AB9">
            <w:pPr>
              <w:pStyle w:val="TableParagraph"/>
              <w:spacing w:after="240"/>
              <w:ind w:left="101" w:right="86"/>
              <w:jc w:val="both"/>
              <w:rPr>
                <w:sz w:val="24"/>
              </w:rPr>
            </w:pPr>
            <w:r w:rsidRPr="00662F9B">
              <w:rPr>
                <w:sz w:val="24"/>
              </w:rPr>
              <w:t xml:space="preserve">Selection criteria are object of updating. Once a year, usually in November and December, the sample of outlets is reviewed and updated. The sample covers different types of outlets from market stalls, </w:t>
            </w:r>
            <w:r w:rsidR="00131AB9" w:rsidRPr="00662F9B">
              <w:rPr>
                <w:sz w:val="24"/>
              </w:rPr>
              <w:t>specialized</w:t>
            </w:r>
            <w:r w:rsidRPr="00662F9B">
              <w:rPr>
                <w:sz w:val="24"/>
              </w:rPr>
              <w:t xml:space="preserve"> shops, restaurants and hotels as well as internet shops and catalogues in both center and suburb of the country.</w:t>
            </w:r>
          </w:p>
          <w:p w14:paraId="2F2A1344" w14:textId="77777777" w:rsidR="0018721A" w:rsidRPr="00662F9B" w:rsidRDefault="0018721A" w:rsidP="0018721A">
            <w:pPr>
              <w:pStyle w:val="TableParagraph"/>
              <w:spacing w:before="5" w:line="272" w:lineRule="exact"/>
              <w:ind w:left="101" w:right="86"/>
              <w:jc w:val="both"/>
              <w:rPr>
                <w:b/>
                <w:sz w:val="24"/>
              </w:rPr>
            </w:pPr>
            <w:r w:rsidRPr="00662F9B">
              <w:rPr>
                <w:b/>
                <w:sz w:val="24"/>
              </w:rPr>
              <w:t>Techniques of products selection and specification</w:t>
            </w:r>
          </w:p>
          <w:p w14:paraId="7C31D3B8" w14:textId="77777777" w:rsidR="0018721A" w:rsidRPr="00662F9B" w:rsidRDefault="0018721A" w:rsidP="0018721A">
            <w:pPr>
              <w:pStyle w:val="TableParagraph"/>
              <w:ind w:left="101" w:right="86"/>
              <w:jc w:val="both"/>
              <w:rPr>
                <w:sz w:val="24"/>
              </w:rPr>
            </w:pPr>
            <w:r w:rsidRPr="00662F9B">
              <w:rPr>
                <w:sz w:val="24"/>
              </w:rPr>
              <w:t>The representative products to be priced are selected judgmentally at the end of every year by central price statistics staff and specialists of regional statistics, who also determine their specifications.</w:t>
            </w:r>
          </w:p>
          <w:p w14:paraId="1E9426A4" w14:textId="77777777" w:rsidR="0018721A" w:rsidRPr="00662F9B" w:rsidRDefault="0018721A" w:rsidP="0018721A">
            <w:pPr>
              <w:pStyle w:val="TableParagraph"/>
              <w:ind w:left="101" w:right="86"/>
              <w:jc w:val="both"/>
              <w:rPr>
                <w:sz w:val="24"/>
              </w:rPr>
            </w:pPr>
            <w:r w:rsidRPr="00662F9B">
              <w:rPr>
                <w:sz w:val="24"/>
              </w:rPr>
              <w:t>These products are selected on the basis of information obtained from:</w:t>
            </w:r>
          </w:p>
          <w:p w14:paraId="4F552D45" w14:textId="77777777" w:rsidR="00C32887" w:rsidRPr="00662F9B" w:rsidRDefault="0018721A" w:rsidP="00EE3CE1">
            <w:pPr>
              <w:pStyle w:val="TableParagraph"/>
              <w:numPr>
                <w:ilvl w:val="0"/>
                <w:numId w:val="22"/>
              </w:numPr>
              <w:tabs>
                <w:tab w:val="left" w:pos="895"/>
                <w:tab w:val="left" w:pos="895"/>
              </w:tabs>
              <w:spacing w:line="293" w:lineRule="exact"/>
              <w:jc w:val="both"/>
              <w:rPr>
                <w:sz w:val="24"/>
              </w:rPr>
            </w:pPr>
            <w:r w:rsidRPr="00662F9B">
              <w:rPr>
                <w:sz w:val="24"/>
              </w:rPr>
              <w:t>HBS</w:t>
            </w:r>
            <w:r w:rsidRPr="00662F9B">
              <w:rPr>
                <w:spacing w:val="-1"/>
                <w:sz w:val="24"/>
              </w:rPr>
              <w:t xml:space="preserve"> </w:t>
            </w:r>
            <w:r w:rsidRPr="00662F9B">
              <w:rPr>
                <w:sz w:val="24"/>
              </w:rPr>
              <w:t>data,</w:t>
            </w:r>
          </w:p>
          <w:p w14:paraId="30F8A864" w14:textId="77777777" w:rsidR="00C32887" w:rsidRPr="00662F9B" w:rsidRDefault="0018721A" w:rsidP="00EE3CE1">
            <w:pPr>
              <w:pStyle w:val="TableParagraph"/>
              <w:numPr>
                <w:ilvl w:val="0"/>
                <w:numId w:val="22"/>
              </w:numPr>
              <w:tabs>
                <w:tab w:val="left" w:pos="894"/>
                <w:tab w:val="left" w:pos="895"/>
              </w:tabs>
              <w:spacing w:line="293" w:lineRule="exact"/>
              <w:jc w:val="both"/>
              <w:rPr>
                <w:sz w:val="24"/>
              </w:rPr>
            </w:pPr>
            <w:r w:rsidRPr="00662F9B">
              <w:rPr>
                <w:sz w:val="24"/>
              </w:rPr>
              <w:t>Retail trade statistics,</w:t>
            </w:r>
          </w:p>
          <w:p w14:paraId="20A1B211" w14:textId="77777777" w:rsidR="00C32887" w:rsidRPr="00662F9B" w:rsidRDefault="0018721A" w:rsidP="00EE3CE1">
            <w:pPr>
              <w:pStyle w:val="TableParagraph"/>
              <w:numPr>
                <w:ilvl w:val="0"/>
                <w:numId w:val="22"/>
              </w:numPr>
              <w:tabs>
                <w:tab w:val="left" w:pos="894"/>
                <w:tab w:val="left" w:pos="895"/>
              </w:tabs>
              <w:spacing w:line="293" w:lineRule="exact"/>
              <w:jc w:val="both"/>
              <w:rPr>
                <w:sz w:val="24"/>
              </w:rPr>
            </w:pPr>
            <w:r w:rsidRPr="00662F9B">
              <w:rPr>
                <w:sz w:val="24"/>
              </w:rPr>
              <w:t>Price collectors’</w:t>
            </w:r>
            <w:r w:rsidRPr="00662F9B">
              <w:rPr>
                <w:spacing w:val="-1"/>
                <w:sz w:val="24"/>
              </w:rPr>
              <w:t xml:space="preserve"> </w:t>
            </w:r>
            <w:r w:rsidRPr="00662F9B">
              <w:rPr>
                <w:sz w:val="24"/>
              </w:rPr>
              <w:t>suggestions,</w:t>
            </w:r>
          </w:p>
          <w:p w14:paraId="1F8602C1" w14:textId="77777777" w:rsidR="00C32887" w:rsidRPr="00662F9B" w:rsidRDefault="0018721A" w:rsidP="00EE3CE1">
            <w:pPr>
              <w:pStyle w:val="TableParagraph"/>
              <w:numPr>
                <w:ilvl w:val="0"/>
                <w:numId w:val="22"/>
              </w:numPr>
              <w:tabs>
                <w:tab w:val="left" w:pos="894"/>
                <w:tab w:val="left" w:pos="895"/>
              </w:tabs>
              <w:spacing w:line="293" w:lineRule="exact"/>
              <w:jc w:val="both"/>
              <w:rPr>
                <w:sz w:val="24"/>
              </w:rPr>
            </w:pPr>
            <w:r w:rsidRPr="00662F9B">
              <w:rPr>
                <w:sz w:val="24"/>
              </w:rPr>
              <w:t>Producer’s</w:t>
            </w:r>
            <w:r w:rsidRPr="00662F9B">
              <w:rPr>
                <w:spacing w:val="-2"/>
                <w:sz w:val="24"/>
              </w:rPr>
              <w:t xml:space="preserve"> </w:t>
            </w:r>
            <w:r w:rsidRPr="00662F9B">
              <w:rPr>
                <w:sz w:val="24"/>
              </w:rPr>
              <w:t>information,</w:t>
            </w:r>
          </w:p>
          <w:p w14:paraId="47E8D159" w14:textId="19A30F13" w:rsidR="0018721A" w:rsidRPr="00662F9B" w:rsidRDefault="0018721A" w:rsidP="00EE3CE1">
            <w:pPr>
              <w:pStyle w:val="TableParagraph"/>
              <w:numPr>
                <w:ilvl w:val="0"/>
                <w:numId w:val="22"/>
              </w:numPr>
              <w:tabs>
                <w:tab w:val="left" w:pos="894"/>
                <w:tab w:val="left" w:pos="895"/>
              </w:tabs>
              <w:spacing w:line="293" w:lineRule="exact"/>
              <w:jc w:val="both"/>
              <w:rPr>
                <w:sz w:val="24"/>
              </w:rPr>
            </w:pPr>
            <w:r w:rsidRPr="00662F9B">
              <w:rPr>
                <w:sz w:val="24"/>
              </w:rPr>
              <w:t>Other</w:t>
            </w:r>
            <w:r w:rsidRPr="00662F9B">
              <w:rPr>
                <w:spacing w:val="-2"/>
                <w:sz w:val="24"/>
              </w:rPr>
              <w:t xml:space="preserve"> </w:t>
            </w:r>
            <w:r w:rsidRPr="00662F9B">
              <w:rPr>
                <w:sz w:val="24"/>
              </w:rPr>
              <w:t>sources.</w:t>
            </w:r>
          </w:p>
          <w:p w14:paraId="7BA632F6" w14:textId="77777777" w:rsidR="0018721A" w:rsidRPr="00662F9B" w:rsidRDefault="0018721A" w:rsidP="0018721A">
            <w:pPr>
              <w:pStyle w:val="TableParagraph"/>
              <w:ind w:left="101" w:right="86"/>
              <w:jc w:val="both"/>
              <w:rPr>
                <w:sz w:val="24"/>
              </w:rPr>
            </w:pPr>
            <w:r w:rsidRPr="00662F9B">
              <w:rPr>
                <w:sz w:val="24"/>
              </w:rPr>
              <w:t xml:space="preserve">The specifications for individual good/service are more or less detailed; indicating size, unit, materials, brand, and characteristics. </w:t>
            </w:r>
          </w:p>
          <w:p w14:paraId="11C3B5AE" w14:textId="5CD5F326" w:rsidR="0018721A" w:rsidRPr="00662F9B" w:rsidRDefault="0018721A" w:rsidP="00232A2E">
            <w:pPr>
              <w:pStyle w:val="TableParagraph"/>
              <w:ind w:left="101" w:right="86"/>
              <w:jc w:val="both"/>
              <w:rPr>
                <w:noProof/>
                <w:color w:val="000000"/>
                <w:sz w:val="24"/>
                <w:szCs w:val="24"/>
                <w:lang w:val="sq-AL" w:eastAsia="sq-AL"/>
              </w:rPr>
            </w:pPr>
            <w:r w:rsidRPr="00662F9B">
              <w:rPr>
                <w:sz w:val="24"/>
              </w:rPr>
              <w:t>The specification will depend also on the nature of the product. If a product has many characteristics which could have effect on its price,</w:t>
            </w:r>
            <w:r w:rsidR="00232A2E">
              <w:rPr>
                <w:sz w:val="24"/>
              </w:rPr>
              <w:t xml:space="preserve"> </w:t>
            </w:r>
            <w:r w:rsidRPr="00662F9B">
              <w:rPr>
                <w:sz w:val="24"/>
              </w:rPr>
              <w:t>then the specification is more exact.</w:t>
            </w:r>
          </w:p>
        </w:tc>
      </w:tr>
      <w:tr w:rsidR="0018721A" w:rsidRPr="008C684F" w14:paraId="509A0F5E" w14:textId="77777777" w:rsidTr="003B0BBB">
        <w:trPr>
          <w:trHeight w:val="562"/>
        </w:trPr>
        <w:tc>
          <w:tcPr>
            <w:tcW w:w="2320" w:type="dxa"/>
            <w:shd w:val="clear" w:color="auto" w:fill="FFFFCC"/>
            <w:vAlign w:val="center"/>
            <w:hideMark/>
          </w:tcPr>
          <w:p w14:paraId="375DB4E8"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18.4. Data validation</w:t>
            </w:r>
          </w:p>
        </w:tc>
        <w:tc>
          <w:tcPr>
            <w:tcW w:w="8071" w:type="dxa"/>
            <w:shd w:val="clear" w:color="auto" w:fill="auto"/>
          </w:tcPr>
          <w:p w14:paraId="3B5A44BB" w14:textId="77777777" w:rsidR="0018721A" w:rsidRPr="00662F9B" w:rsidRDefault="0018721A" w:rsidP="00FB7C16">
            <w:pPr>
              <w:pStyle w:val="TableParagraph"/>
              <w:spacing w:before="240" w:after="240"/>
              <w:ind w:left="101" w:right="86"/>
              <w:jc w:val="both"/>
              <w:rPr>
                <w:sz w:val="24"/>
              </w:rPr>
            </w:pPr>
            <w:r w:rsidRPr="00662F9B">
              <w:rPr>
                <w:sz w:val="24"/>
              </w:rPr>
              <w:t>Data validation is done by INSTAT. All collected prices are reviewed by price collectors before being entered into the computer; the second phase of control is incorporated in the computer program for data entry and in the end all data are manually checked by a regional staff. If there are doubts about the reliability of one or several prices, these prices are checked once again by contacting price collectors or, if necessary, checked directly in the field. There is no automatic rejection of observed prices in our validation process.</w:t>
            </w:r>
          </w:p>
          <w:p w14:paraId="36EA2BAB" w14:textId="110B8CF5" w:rsidR="0018721A" w:rsidRPr="00662F9B" w:rsidRDefault="0018721A" w:rsidP="00C32887">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662F9B">
              <w:rPr>
                <w:rFonts w:ascii="Times New Roman" w:hAnsi="Times New Roman" w:cs="Times New Roman"/>
                <w:sz w:val="24"/>
              </w:rPr>
              <w:t>Each case (problematic price) is considered individually and all modifications are done on the basis of relevant information.</w:t>
            </w:r>
          </w:p>
        </w:tc>
      </w:tr>
      <w:tr w:rsidR="0018721A" w:rsidRPr="008C684F" w14:paraId="4D50832F" w14:textId="77777777" w:rsidTr="003B0BBB">
        <w:trPr>
          <w:trHeight w:val="562"/>
        </w:trPr>
        <w:tc>
          <w:tcPr>
            <w:tcW w:w="2320" w:type="dxa"/>
            <w:shd w:val="clear" w:color="auto" w:fill="FFFFCC"/>
            <w:vAlign w:val="center"/>
            <w:hideMark/>
          </w:tcPr>
          <w:p w14:paraId="414C7798"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18.5. Data compilation </w:t>
            </w:r>
          </w:p>
        </w:tc>
        <w:tc>
          <w:tcPr>
            <w:tcW w:w="8071" w:type="dxa"/>
            <w:shd w:val="clear" w:color="auto" w:fill="auto"/>
            <w:vAlign w:val="center"/>
          </w:tcPr>
          <w:p w14:paraId="2CD6F2EC" w14:textId="77777777" w:rsidR="0018721A" w:rsidRPr="00662F9B" w:rsidRDefault="0018721A" w:rsidP="0018721A">
            <w:pPr>
              <w:pStyle w:val="TableParagraph"/>
              <w:spacing w:before="240" w:after="240"/>
              <w:ind w:left="101" w:right="86"/>
              <w:jc w:val="both"/>
              <w:rPr>
                <w:b/>
                <w:sz w:val="24"/>
              </w:rPr>
            </w:pPr>
            <w:r w:rsidRPr="00662F9B">
              <w:rPr>
                <w:b/>
                <w:sz w:val="24"/>
              </w:rPr>
              <w:t>Weights for CPI</w:t>
            </w:r>
          </w:p>
          <w:p w14:paraId="4D320F71" w14:textId="77777777" w:rsidR="0018721A" w:rsidRPr="00662F9B" w:rsidRDefault="0018721A" w:rsidP="0018721A">
            <w:pPr>
              <w:pStyle w:val="TableParagraph"/>
              <w:spacing w:before="240" w:after="240"/>
              <w:ind w:left="101" w:right="86"/>
              <w:jc w:val="both"/>
              <w:rPr>
                <w:sz w:val="24"/>
              </w:rPr>
            </w:pPr>
            <w:r w:rsidRPr="00662F9B">
              <w:rPr>
                <w:sz w:val="24"/>
              </w:rPr>
              <w:t>The Final Monetary Consumption Expenditures are used for calculation of CPI weights. The main sources of final expenditures are HBS data. CPI in year t is based in expenditures of year t-1. Additional sources for calculation of weights for imputed rents, alcoholic beverages and tobacco are National Accounts data. The item weights are expressed as a share of total expenditure on all goods and services falling within the scope of the index. Weights are updated every year based on HBS data and other</w:t>
            </w:r>
            <w:r w:rsidRPr="00662F9B">
              <w:rPr>
                <w:spacing w:val="-8"/>
                <w:sz w:val="24"/>
              </w:rPr>
              <w:t xml:space="preserve"> </w:t>
            </w:r>
            <w:r w:rsidRPr="00662F9B">
              <w:rPr>
                <w:sz w:val="24"/>
              </w:rPr>
              <w:t>sources.</w:t>
            </w:r>
          </w:p>
          <w:p w14:paraId="14873560" w14:textId="77777777" w:rsidR="0018721A" w:rsidRPr="00662F9B" w:rsidRDefault="0018721A" w:rsidP="0018721A">
            <w:pPr>
              <w:pStyle w:val="TableParagraph"/>
              <w:spacing w:before="240" w:after="240"/>
              <w:ind w:left="101" w:right="86"/>
              <w:jc w:val="both"/>
              <w:rPr>
                <w:b/>
                <w:sz w:val="24"/>
              </w:rPr>
            </w:pPr>
            <w:r w:rsidRPr="00662F9B">
              <w:rPr>
                <w:b/>
                <w:sz w:val="24"/>
              </w:rPr>
              <w:t>Weights for HICP</w:t>
            </w:r>
          </w:p>
          <w:p w14:paraId="221756C1" w14:textId="77777777" w:rsidR="0018721A" w:rsidRPr="00662F9B" w:rsidRDefault="0018721A" w:rsidP="0018721A">
            <w:pPr>
              <w:pStyle w:val="TableParagraph"/>
              <w:spacing w:before="240" w:after="240"/>
              <w:ind w:left="101" w:right="86"/>
              <w:jc w:val="both"/>
              <w:rPr>
                <w:sz w:val="24"/>
              </w:rPr>
            </w:pPr>
            <w:r w:rsidRPr="00662F9B">
              <w:rPr>
                <w:sz w:val="24"/>
              </w:rPr>
              <w:t xml:space="preserve">HICP weights are calculated in accordance with the requirements of Commission Regulation (EC) No 2454/97 and Council Regulation (EC) No 1688/98. The HICP weights reflect the structure of the FMCE (domestic concept). 11 National accounts are the main source of data for construction of the HICP weights at the highest levels of aggregation. HICP in year t is </w:t>
            </w:r>
            <w:r w:rsidRPr="00662F9B">
              <w:rPr>
                <w:sz w:val="24"/>
              </w:rPr>
              <w:lastRenderedPageBreak/>
              <w:t>calculated with weights of year t-2.</w:t>
            </w:r>
          </w:p>
          <w:p w14:paraId="7467EA66" w14:textId="77777777" w:rsidR="0018721A" w:rsidRPr="00662F9B" w:rsidRDefault="0018721A" w:rsidP="0018721A">
            <w:pPr>
              <w:pStyle w:val="TableParagraph"/>
              <w:spacing w:before="240" w:after="240"/>
              <w:ind w:left="101" w:right="86"/>
              <w:jc w:val="both"/>
              <w:rPr>
                <w:b/>
                <w:sz w:val="24"/>
              </w:rPr>
            </w:pPr>
            <w:r w:rsidRPr="00662F9B">
              <w:rPr>
                <w:b/>
                <w:sz w:val="24"/>
              </w:rPr>
              <w:t>Calculations of the index in detailed level</w:t>
            </w:r>
          </w:p>
          <w:p w14:paraId="51984569" w14:textId="77777777" w:rsidR="0018721A" w:rsidRPr="00662F9B" w:rsidRDefault="0018721A" w:rsidP="0018721A">
            <w:pPr>
              <w:pStyle w:val="TableParagraph"/>
              <w:spacing w:before="240" w:after="240"/>
              <w:ind w:left="101" w:right="86"/>
              <w:jc w:val="both"/>
              <w:rPr>
                <w:sz w:val="24"/>
              </w:rPr>
            </w:pPr>
            <w:r w:rsidRPr="00662F9B">
              <w:rPr>
                <w:sz w:val="24"/>
              </w:rPr>
              <w:t>Elementary indices are calculated using un-weighted geometric mean of collected prices for each product.</w:t>
            </w:r>
          </w:p>
          <w:p w14:paraId="59ABBECF" w14:textId="77777777" w:rsidR="0018721A" w:rsidRPr="00662F9B" w:rsidRDefault="0018721A" w:rsidP="0018721A">
            <w:pPr>
              <w:pStyle w:val="TableParagraph"/>
              <w:spacing w:before="240" w:after="240"/>
              <w:ind w:left="101" w:right="86"/>
              <w:jc w:val="both"/>
              <w:rPr>
                <w:sz w:val="24"/>
              </w:rPr>
            </w:pPr>
            <w:r w:rsidRPr="00662F9B">
              <w:rPr>
                <w:b/>
                <w:sz w:val="24"/>
              </w:rPr>
              <w:t xml:space="preserve">Calculation of the index in aggregate level and total index </w:t>
            </w:r>
            <w:r w:rsidRPr="00662F9B">
              <w:rPr>
                <w:sz w:val="24"/>
              </w:rPr>
              <w:t>Aggregated index and total index are calculated using Laspeyres</w:t>
            </w:r>
            <w:bookmarkStart w:id="18" w:name="_GoBack"/>
            <w:bookmarkEnd w:id="18"/>
            <w:r w:rsidRPr="00662F9B">
              <w:rPr>
                <w:sz w:val="24"/>
              </w:rPr>
              <w:t xml:space="preserve"> formula. The relative prices are aggregated geographically to form product indices on items for whole Albania. Aggregation over items then gives the CPI of Albania.</w:t>
            </w:r>
          </w:p>
          <w:p w14:paraId="2CC3FA18" w14:textId="77777777" w:rsidR="0018721A" w:rsidRPr="00662F9B" w:rsidRDefault="0018721A" w:rsidP="0018721A">
            <w:pPr>
              <w:pStyle w:val="TableParagraph"/>
              <w:spacing w:before="240" w:after="240"/>
              <w:ind w:left="101" w:right="86"/>
              <w:jc w:val="both"/>
              <w:rPr>
                <w:b/>
                <w:sz w:val="24"/>
              </w:rPr>
            </w:pPr>
            <w:r w:rsidRPr="00662F9B">
              <w:rPr>
                <w:b/>
                <w:sz w:val="24"/>
              </w:rPr>
              <w:t>Treatment of missing items and replacements</w:t>
            </w:r>
          </w:p>
          <w:p w14:paraId="755E3DF6" w14:textId="77777777" w:rsidR="0018721A" w:rsidRPr="00662F9B" w:rsidRDefault="0018721A" w:rsidP="0018721A">
            <w:pPr>
              <w:pStyle w:val="TableParagraph"/>
              <w:spacing w:before="240" w:after="240"/>
              <w:ind w:left="101" w:right="86"/>
              <w:jc w:val="both"/>
              <w:rPr>
                <w:sz w:val="24"/>
              </w:rPr>
            </w:pPr>
            <w:r w:rsidRPr="00662F9B">
              <w:rPr>
                <w:sz w:val="24"/>
              </w:rPr>
              <w:t>When a non-seasonal item is temporarily missing in a given outlet, the last recorded price is retained for one month to two months, but usually at the same time the price for its substitute is observed. When it is clear that a non-seasonal item is missing permanently (in the third month or earlier), the item is substituted with the most comparable one in the same outlet or its price is extrapolated by price change of the same or similar item in another</w:t>
            </w:r>
            <w:r w:rsidRPr="00662F9B">
              <w:rPr>
                <w:spacing w:val="-2"/>
                <w:sz w:val="24"/>
              </w:rPr>
              <w:t xml:space="preserve"> </w:t>
            </w:r>
            <w:r w:rsidRPr="00662F9B">
              <w:rPr>
                <w:sz w:val="24"/>
              </w:rPr>
              <w:t>outlet(s).</w:t>
            </w:r>
          </w:p>
          <w:p w14:paraId="3B7BFF01" w14:textId="77777777" w:rsidR="0018721A" w:rsidRPr="00662F9B" w:rsidRDefault="0018721A" w:rsidP="0018721A">
            <w:pPr>
              <w:pStyle w:val="TableParagraph"/>
              <w:spacing w:before="240" w:after="240"/>
              <w:ind w:left="101" w:right="86"/>
              <w:jc w:val="both"/>
              <w:rPr>
                <w:b/>
                <w:sz w:val="24"/>
              </w:rPr>
            </w:pPr>
            <w:r w:rsidRPr="00662F9B">
              <w:rPr>
                <w:b/>
                <w:sz w:val="24"/>
              </w:rPr>
              <w:t>Introduction of newly significant goods and services</w:t>
            </w:r>
          </w:p>
          <w:p w14:paraId="6B1C6C3C" w14:textId="77777777" w:rsidR="0018721A" w:rsidRPr="00662F9B" w:rsidRDefault="0018721A" w:rsidP="0018721A">
            <w:pPr>
              <w:pStyle w:val="TableParagraph"/>
              <w:spacing w:before="240" w:after="240"/>
              <w:ind w:left="101" w:right="86"/>
              <w:jc w:val="both"/>
              <w:rPr>
                <w:sz w:val="24"/>
              </w:rPr>
            </w:pPr>
            <w:r w:rsidRPr="00662F9B">
              <w:rPr>
                <w:sz w:val="24"/>
              </w:rPr>
              <w:t>In December of each year updating of goods and services of basket is performed, including new products considered as representative during</w:t>
            </w:r>
            <w:r w:rsidRPr="00662F9B">
              <w:rPr>
                <w:spacing w:val="27"/>
                <w:sz w:val="24"/>
              </w:rPr>
              <w:t xml:space="preserve"> </w:t>
            </w:r>
            <w:r w:rsidRPr="00662F9B">
              <w:rPr>
                <w:sz w:val="24"/>
              </w:rPr>
              <w:t>previews</w:t>
            </w:r>
            <w:r w:rsidRPr="00662F9B">
              <w:rPr>
                <w:spacing w:val="31"/>
                <w:sz w:val="24"/>
              </w:rPr>
              <w:t xml:space="preserve"> </w:t>
            </w:r>
            <w:r w:rsidRPr="00662F9B">
              <w:rPr>
                <w:sz w:val="24"/>
              </w:rPr>
              <w:t>year.</w:t>
            </w:r>
            <w:r w:rsidRPr="00662F9B">
              <w:rPr>
                <w:spacing w:val="31"/>
                <w:sz w:val="24"/>
              </w:rPr>
              <w:t xml:space="preserve"> </w:t>
            </w:r>
            <w:r w:rsidRPr="00662F9B">
              <w:rPr>
                <w:sz w:val="24"/>
              </w:rPr>
              <w:t>Treatment</w:t>
            </w:r>
            <w:r w:rsidRPr="00662F9B">
              <w:rPr>
                <w:spacing w:val="30"/>
                <w:sz w:val="24"/>
              </w:rPr>
              <w:t xml:space="preserve"> </w:t>
            </w:r>
            <w:r w:rsidRPr="00662F9B">
              <w:rPr>
                <w:sz w:val="24"/>
              </w:rPr>
              <w:t>of</w:t>
            </w:r>
            <w:r w:rsidRPr="00662F9B">
              <w:rPr>
                <w:spacing w:val="32"/>
                <w:sz w:val="24"/>
              </w:rPr>
              <w:t xml:space="preserve"> </w:t>
            </w:r>
            <w:r w:rsidRPr="00662F9B">
              <w:rPr>
                <w:sz w:val="24"/>
              </w:rPr>
              <w:t>price</w:t>
            </w:r>
            <w:r w:rsidRPr="00662F9B">
              <w:rPr>
                <w:spacing w:val="31"/>
                <w:sz w:val="24"/>
              </w:rPr>
              <w:t xml:space="preserve"> </w:t>
            </w:r>
            <w:r w:rsidRPr="00662F9B">
              <w:rPr>
                <w:sz w:val="24"/>
              </w:rPr>
              <w:t>reductions</w:t>
            </w:r>
            <w:r w:rsidRPr="00662F9B">
              <w:rPr>
                <w:spacing w:val="32"/>
                <w:sz w:val="24"/>
              </w:rPr>
              <w:t xml:space="preserve"> </w:t>
            </w:r>
            <w:r w:rsidRPr="00662F9B">
              <w:rPr>
                <w:sz w:val="24"/>
              </w:rPr>
              <w:t>Seasonal</w:t>
            </w:r>
            <w:r w:rsidRPr="00662F9B">
              <w:rPr>
                <w:spacing w:val="30"/>
                <w:sz w:val="24"/>
              </w:rPr>
              <w:t xml:space="preserve"> </w:t>
            </w:r>
            <w:r w:rsidRPr="00662F9B">
              <w:rPr>
                <w:sz w:val="24"/>
              </w:rPr>
              <w:t>sales, other</w:t>
            </w:r>
            <w:r w:rsidRPr="00662F9B">
              <w:rPr>
                <w:spacing w:val="33"/>
                <w:sz w:val="24"/>
              </w:rPr>
              <w:t xml:space="preserve"> </w:t>
            </w:r>
            <w:r w:rsidRPr="00662F9B">
              <w:rPr>
                <w:sz w:val="24"/>
              </w:rPr>
              <w:t>sales</w:t>
            </w:r>
            <w:r w:rsidRPr="00662F9B">
              <w:rPr>
                <w:spacing w:val="34"/>
                <w:sz w:val="24"/>
              </w:rPr>
              <w:t xml:space="preserve"> </w:t>
            </w:r>
            <w:r w:rsidRPr="00662F9B">
              <w:rPr>
                <w:sz w:val="24"/>
              </w:rPr>
              <w:t>prices</w:t>
            </w:r>
            <w:r w:rsidRPr="00662F9B">
              <w:rPr>
                <w:spacing w:val="34"/>
                <w:sz w:val="24"/>
              </w:rPr>
              <w:t xml:space="preserve"> </w:t>
            </w:r>
            <w:r w:rsidRPr="00662F9B">
              <w:rPr>
                <w:sz w:val="24"/>
              </w:rPr>
              <w:t>and</w:t>
            </w:r>
            <w:r w:rsidRPr="00662F9B">
              <w:rPr>
                <w:spacing w:val="34"/>
                <w:sz w:val="24"/>
              </w:rPr>
              <w:t xml:space="preserve"> </w:t>
            </w:r>
            <w:r w:rsidRPr="00662F9B">
              <w:rPr>
                <w:sz w:val="24"/>
              </w:rPr>
              <w:t>reduced</w:t>
            </w:r>
            <w:r w:rsidRPr="00662F9B">
              <w:rPr>
                <w:spacing w:val="33"/>
                <w:sz w:val="24"/>
              </w:rPr>
              <w:t xml:space="preserve"> </w:t>
            </w:r>
            <w:r w:rsidRPr="00662F9B">
              <w:rPr>
                <w:sz w:val="24"/>
              </w:rPr>
              <w:t>prices</w:t>
            </w:r>
            <w:r w:rsidRPr="00662F9B">
              <w:rPr>
                <w:spacing w:val="34"/>
                <w:sz w:val="24"/>
              </w:rPr>
              <w:t xml:space="preserve"> </w:t>
            </w:r>
            <w:r w:rsidRPr="00662F9B">
              <w:rPr>
                <w:sz w:val="24"/>
              </w:rPr>
              <w:t>(e.g.</w:t>
            </w:r>
            <w:r w:rsidRPr="00662F9B">
              <w:rPr>
                <w:spacing w:val="36"/>
                <w:sz w:val="24"/>
              </w:rPr>
              <w:t xml:space="preserve"> </w:t>
            </w:r>
            <w:r w:rsidRPr="00662F9B">
              <w:rPr>
                <w:sz w:val="24"/>
              </w:rPr>
              <w:t>special</w:t>
            </w:r>
            <w:r w:rsidRPr="00662F9B">
              <w:rPr>
                <w:spacing w:val="34"/>
                <w:sz w:val="24"/>
              </w:rPr>
              <w:t xml:space="preserve"> </w:t>
            </w:r>
            <w:r w:rsidRPr="00662F9B">
              <w:rPr>
                <w:sz w:val="24"/>
              </w:rPr>
              <w:t>offers,</w:t>
            </w:r>
            <w:r w:rsidRPr="00662F9B">
              <w:rPr>
                <w:spacing w:val="35"/>
                <w:sz w:val="24"/>
              </w:rPr>
              <w:t xml:space="preserve"> </w:t>
            </w:r>
            <w:r w:rsidRPr="00662F9B">
              <w:rPr>
                <w:sz w:val="24"/>
              </w:rPr>
              <w:t>discounts, etc.) are included in the index when they are available to all potential consumers. Treatment of seasonal products Seasonal products are treated based on the Commission Regulation (EC) No 330/2009 of 22 April 2009. Seasonal products during the year are treated with fix weights; it means that the yearly indices of seasonal products are calculated with fix weights. All-seasonal estimation is used. Estimation is carried out in the following way:</w:t>
            </w:r>
          </w:p>
          <w:p w14:paraId="3C713B33" w14:textId="2E9C147A" w:rsidR="0018721A" w:rsidRPr="00662F9B" w:rsidRDefault="0018721A" w:rsidP="00EE3CE1">
            <w:pPr>
              <w:pStyle w:val="TableParagraph"/>
              <w:numPr>
                <w:ilvl w:val="0"/>
                <w:numId w:val="7"/>
              </w:numPr>
              <w:tabs>
                <w:tab w:val="left" w:pos="933"/>
              </w:tabs>
              <w:spacing w:before="240" w:after="240"/>
              <w:ind w:right="86"/>
              <w:jc w:val="both"/>
              <w:rPr>
                <w:sz w:val="24"/>
              </w:rPr>
            </w:pPr>
            <w:r w:rsidRPr="00662F9B">
              <w:rPr>
                <w:sz w:val="24"/>
              </w:rPr>
              <w:t>In the first month of the out-of-season period, the monthly typical price is calculated as average prices for</w:t>
            </w:r>
            <w:r w:rsidRPr="00662F9B">
              <w:rPr>
                <w:spacing w:val="-10"/>
                <w:sz w:val="24"/>
              </w:rPr>
              <w:t xml:space="preserve"> </w:t>
            </w:r>
            <w:r w:rsidRPr="00662F9B">
              <w:rPr>
                <w:sz w:val="24"/>
              </w:rPr>
              <w:t>months,</w:t>
            </w:r>
          </w:p>
          <w:p w14:paraId="6BF5BC95" w14:textId="7A6ADE30" w:rsidR="0018721A" w:rsidRPr="00662F9B" w:rsidRDefault="0018721A" w:rsidP="00EE3CE1">
            <w:pPr>
              <w:pStyle w:val="TableParagraph"/>
              <w:numPr>
                <w:ilvl w:val="0"/>
                <w:numId w:val="7"/>
              </w:numPr>
              <w:tabs>
                <w:tab w:val="left" w:pos="967"/>
              </w:tabs>
              <w:spacing w:before="240" w:after="240"/>
              <w:ind w:right="86"/>
              <w:jc w:val="both"/>
              <w:rPr>
                <w:sz w:val="24"/>
              </w:rPr>
            </w:pPr>
            <w:r w:rsidRPr="00662F9B">
              <w:rPr>
                <w:sz w:val="24"/>
              </w:rPr>
              <w:t>From the second month of the out-of-season period, the estimated monthly price is applied for each product which is out-of-season. To obtain the price ratio for estimation, only prices</w:t>
            </w:r>
            <w:r w:rsidRPr="00662F9B">
              <w:rPr>
                <w:spacing w:val="23"/>
                <w:sz w:val="24"/>
              </w:rPr>
              <w:t xml:space="preserve"> </w:t>
            </w:r>
            <w:r w:rsidRPr="00662F9B">
              <w:rPr>
                <w:sz w:val="24"/>
              </w:rPr>
              <w:t>for</w:t>
            </w:r>
            <w:r w:rsidRPr="00662F9B">
              <w:rPr>
                <w:spacing w:val="23"/>
                <w:sz w:val="24"/>
              </w:rPr>
              <w:t xml:space="preserve"> </w:t>
            </w:r>
            <w:r w:rsidRPr="00662F9B">
              <w:rPr>
                <w:sz w:val="24"/>
              </w:rPr>
              <w:t>products</w:t>
            </w:r>
            <w:r w:rsidRPr="00662F9B">
              <w:rPr>
                <w:spacing w:val="22"/>
                <w:sz w:val="24"/>
              </w:rPr>
              <w:t xml:space="preserve"> </w:t>
            </w:r>
            <w:r w:rsidRPr="00662F9B">
              <w:rPr>
                <w:sz w:val="24"/>
              </w:rPr>
              <w:t>available</w:t>
            </w:r>
            <w:r w:rsidRPr="00662F9B">
              <w:rPr>
                <w:spacing w:val="23"/>
                <w:sz w:val="24"/>
              </w:rPr>
              <w:t xml:space="preserve"> </w:t>
            </w:r>
            <w:r w:rsidRPr="00662F9B">
              <w:rPr>
                <w:sz w:val="24"/>
              </w:rPr>
              <w:t>in</w:t>
            </w:r>
            <w:r w:rsidRPr="00662F9B">
              <w:rPr>
                <w:spacing w:val="24"/>
                <w:sz w:val="24"/>
              </w:rPr>
              <w:t xml:space="preserve"> </w:t>
            </w:r>
            <w:r w:rsidRPr="00662F9B">
              <w:rPr>
                <w:sz w:val="24"/>
              </w:rPr>
              <w:t>the</w:t>
            </w:r>
            <w:r w:rsidRPr="00662F9B">
              <w:rPr>
                <w:spacing w:val="25"/>
                <w:sz w:val="24"/>
              </w:rPr>
              <w:t xml:space="preserve"> </w:t>
            </w:r>
            <w:r w:rsidRPr="00662F9B">
              <w:rPr>
                <w:sz w:val="24"/>
              </w:rPr>
              <w:t>current</w:t>
            </w:r>
            <w:r w:rsidRPr="00662F9B">
              <w:rPr>
                <w:spacing w:val="21"/>
                <w:sz w:val="24"/>
              </w:rPr>
              <w:t xml:space="preserve"> </w:t>
            </w:r>
            <w:r w:rsidRPr="00662F9B">
              <w:rPr>
                <w:sz w:val="24"/>
              </w:rPr>
              <w:t>and</w:t>
            </w:r>
            <w:r w:rsidRPr="00662F9B">
              <w:rPr>
                <w:spacing w:val="22"/>
                <w:sz w:val="24"/>
              </w:rPr>
              <w:t xml:space="preserve"> </w:t>
            </w:r>
            <w:r w:rsidRPr="00662F9B">
              <w:rPr>
                <w:sz w:val="24"/>
              </w:rPr>
              <w:t>previous months are used.</w:t>
            </w:r>
          </w:p>
        </w:tc>
      </w:tr>
      <w:tr w:rsidR="0018721A" w:rsidRPr="008C684F" w14:paraId="50FAC4F5" w14:textId="77777777" w:rsidTr="003B0BBB">
        <w:trPr>
          <w:trHeight w:val="567"/>
        </w:trPr>
        <w:tc>
          <w:tcPr>
            <w:tcW w:w="2320" w:type="dxa"/>
            <w:shd w:val="clear" w:color="auto" w:fill="FFFFCC"/>
            <w:vAlign w:val="center"/>
            <w:hideMark/>
          </w:tcPr>
          <w:p w14:paraId="24C58103" w14:textId="77777777" w:rsidR="0018721A" w:rsidRPr="008C684F" w:rsidRDefault="0018721A" w:rsidP="0018721A">
            <w:pPr>
              <w:spacing w:after="0"/>
              <w:rPr>
                <w:rFonts w:ascii="Times New Roman" w:hAnsi="Times New Roman" w:cs="Times New Roman"/>
                <w:noProof/>
                <w:sz w:val="24"/>
                <w:szCs w:val="24"/>
                <w:lang w:val="sq-AL"/>
              </w:rPr>
            </w:pPr>
            <w:r w:rsidRPr="008C684F">
              <w:rPr>
                <w:rFonts w:ascii="Times New Roman" w:hAnsi="Times New Roman" w:cs="Times New Roman"/>
                <w:noProof/>
                <w:sz w:val="24"/>
                <w:szCs w:val="24"/>
                <w:lang w:val="sq-AL"/>
              </w:rPr>
              <w:lastRenderedPageBreak/>
              <w:t>18.6. Adjustment</w:t>
            </w:r>
          </w:p>
        </w:tc>
        <w:tc>
          <w:tcPr>
            <w:tcW w:w="8071" w:type="dxa"/>
            <w:shd w:val="clear" w:color="auto" w:fill="auto"/>
            <w:noWrap/>
          </w:tcPr>
          <w:p w14:paraId="25AA56C8" w14:textId="77777777" w:rsidR="0018721A" w:rsidRPr="008C684F" w:rsidRDefault="0018721A" w:rsidP="0018721A">
            <w:pPr>
              <w:pStyle w:val="TableParagraph"/>
              <w:spacing w:before="240" w:after="240"/>
              <w:ind w:left="101" w:right="86"/>
              <w:jc w:val="both"/>
              <w:rPr>
                <w:sz w:val="24"/>
              </w:rPr>
            </w:pPr>
            <w:r w:rsidRPr="008C684F">
              <w:rPr>
                <w:b/>
                <w:sz w:val="24"/>
              </w:rPr>
              <w:t xml:space="preserve">Adjustments for quality change: </w:t>
            </w:r>
            <w:r w:rsidRPr="008C684F">
              <w:rPr>
                <w:sz w:val="24"/>
              </w:rPr>
              <w:t>When the CPI/HICP is calculated, it is important that the products are priced without any change in quality, because only 'pure' price changes, not any due to changes in the quality of the products observed, should be reflected.</w:t>
            </w:r>
          </w:p>
          <w:p w14:paraId="12D006C2" w14:textId="77777777" w:rsidR="0018721A" w:rsidRPr="008C684F" w:rsidRDefault="0018721A" w:rsidP="0018721A">
            <w:pPr>
              <w:pStyle w:val="TableParagraph"/>
              <w:spacing w:before="240" w:after="240"/>
              <w:ind w:left="101" w:right="86"/>
              <w:jc w:val="both"/>
              <w:rPr>
                <w:sz w:val="24"/>
              </w:rPr>
            </w:pPr>
            <w:r w:rsidRPr="008C684F">
              <w:rPr>
                <w:sz w:val="24"/>
              </w:rPr>
              <w:t>The most commonly used methods of dealing with changes in product quality are:</w:t>
            </w:r>
          </w:p>
          <w:p w14:paraId="519FFA9F" w14:textId="64921750" w:rsidR="0018721A" w:rsidRPr="008C684F" w:rsidRDefault="0018721A" w:rsidP="00EE3CE1">
            <w:pPr>
              <w:pStyle w:val="TableParagraph"/>
              <w:numPr>
                <w:ilvl w:val="0"/>
                <w:numId w:val="15"/>
              </w:numPr>
              <w:tabs>
                <w:tab w:val="left" w:pos="907"/>
              </w:tabs>
              <w:ind w:right="91"/>
              <w:jc w:val="both"/>
              <w:rPr>
                <w:sz w:val="24"/>
              </w:rPr>
            </w:pPr>
            <w:r w:rsidRPr="008C684F">
              <w:rPr>
                <w:b/>
                <w:sz w:val="24"/>
              </w:rPr>
              <w:t xml:space="preserve">Package-size adjustment: </w:t>
            </w:r>
            <w:r w:rsidRPr="008C684F">
              <w:rPr>
                <w:sz w:val="24"/>
              </w:rPr>
              <w:t>The value of a change in package size, as a proportion of the price, is assessed as the relative change in package-size.</w:t>
            </w:r>
          </w:p>
          <w:p w14:paraId="015E7DCE" w14:textId="25EFC30C" w:rsidR="0018721A" w:rsidRPr="008C684F" w:rsidRDefault="0018721A" w:rsidP="00EE3CE1">
            <w:pPr>
              <w:pStyle w:val="TableParagraph"/>
              <w:numPr>
                <w:ilvl w:val="0"/>
                <w:numId w:val="15"/>
              </w:numPr>
              <w:tabs>
                <w:tab w:val="left" w:pos="993"/>
              </w:tabs>
              <w:ind w:right="87"/>
              <w:jc w:val="both"/>
              <w:rPr>
                <w:sz w:val="24"/>
              </w:rPr>
            </w:pPr>
            <w:r w:rsidRPr="008C684F">
              <w:rPr>
                <w:b/>
                <w:sz w:val="24"/>
              </w:rPr>
              <w:lastRenderedPageBreak/>
              <w:t xml:space="preserve">Annual overlap: </w:t>
            </w:r>
            <w:r w:rsidRPr="008C684F">
              <w:rPr>
                <w:sz w:val="24"/>
              </w:rPr>
              <w:t xml:space="preserve">For many products new samples are selected each year during the annual revision of the consumer basket. December is taken as the </w:t>
            </w:r>
            <w:r w:rsidR="00E20C0A" w:rsidRPr="008C684F">
              <w:rPr>
                <w:sz w:val="24"/>
              </w:rPr>
              <w:t>12-link</w:t>
            </w:r>
            <w:r w:rsidRPr="008C684F">
              <w:rPr>
                <w:sz w:val="24"/>
              </w:rPr>
              <w:t xml:space="preserve"> month when prices are collected for both the old and new samples. Quality differences between these two samples are then eliminated by the 'annual overlap'</w:t>
            </w:r>
            <w:r w:rsidRPr="008C684F">
              <w:rPr>
                <w:spacing w:val="-3"/>
                <w:sz w:val="24"/>
              </w:rPr>
              <w:t xml:space="preserve"> </w:t>
            </w:r>
            <w:r w:rsidRPr="008C684F">
              <w:rPr>
                <w:sz w:val="24"/>
              </w:rPr>
              <w:t>method.</w:t>
            </w:r>
          </w:p>
          <w:p w14:paraId="210D0BB9" w14:textId="00147173" w:rsidR="0018721A" w:rsidRPr="008C684F" w:rsidRDefault="0018721A" w:rsidP="00EE3CE1">
            <w:pPr>
              <w:pStyle w:val="TableParagraph"/>
              <w:numPr>
                <w:ilvl w:val="0"/>
                <w:numId w:val="15"/>
              </w:numPr>
              <w:tabs>
                <w:tab w:val="left" w:pos="1152"/>
              </w:tabs>
              <w:ind w:right="88"/>
              <w:jc w:val="both"/>
              <w:rPr>
                <w:sz w:val="24"/>
              </w:rPr>
            </w:pPr>
            <w:r w:rsidRPr="008C684F">
              <w:rPr>
                <w:b/>
                <w:sz w:val="24"/>
              </w:rPr>
              <w:t xml:space="preserve">Direct comparison: </w:t>
            </w:r>
            <w:r w:rsidRPr="008C684F">
              <w:rPr>
                <w:sz w:val="24"/>
              </w:rPr>
              <w:t>Price collectors are instructed to measure the price for the same variety throughout the year. If the variety disappears permanently from the market, they should choose another with the most similar quality. In these cases, direct comparison is applied because the difference in quality between the old and new varieties is</w:t>
            </w:r>
            <w:r w:rsidRPr="008C684F">
              <w:rPr>
                <w:spacing w:val="-4"/>
                <w:sz w:val="24"/>
              </w:rPr>
              <w:t xml:space="preserve"> </w:t>
            </w:r>
            <w:r w:rsidRPr="008C684F">
              <w:rPr>
                <w:sz w:val="24"/>
              </w:rPr>
              <w:t>minor.</w:t>
            </w:r>
          </w:p>
          <w:p w14:paraId="0C87816B" w14:textId="0CCF68EE" w:rsidR="0018721A" w:rsidRPr="008C684F" w:rsidRDefault="0018721A" w:rsidP="00EE3CE1">
            <w:pPr>
              <w:pStyle w:val="TableParagraph"/>
              <w:numPr>
                <w:ilvl w:val="0"/>
                <w:numId w:val="15"/>
              </w:numPr>
              <w:tabs>
                <w:tab w:val="left" w:pos="938"/>
              </w:tabs>
              <w:spacing w:line="237" w:lineRule="auto"/>
              <w:ind w:right="85"/>
              <w:jc w:val="both"/>
              <w:rPr>
                <w:sz w:val="24"/>
              </w:rPr>
            </w:pPr>
            <w:r w:rsidRPr="008C684F">
              <w:rPr>
                <w:b/>
                <w:sz w:val="24"/>
              </w:rPr>
              <w:t xml:space="preserve">Supported judgment: </w:t>
            </w:r>
            <w:r w:rsidRPr="008C684F">
              <w:rPr>
                <w:sz w:val="24"/>
              </w:rPr>
              <w:t>Means that the value of the quality change between a replaced and replacement product-offer is calculated by using supplementary information</w:t>
            </w:r>
            <w:r w:rsidRPr="008C684F">
              <w:rPr>
                <w:spacing w:val="-6"/>
                <w:sz w:val="24"/>
              </w:rPr>
              <w:t xml:space="preserve"> </w:t>
            </w:r>
            <w:r w:rsidRPr="008C684F">
              <w:rPr>
                <w:sz w:val="24"/>
              </w:rPr>
              <w:t>sources.</w:t>
            </w:r>
          </w:p>
          <w:p w14:paraId="457C903E" w14:textId="77777777" w:rsidR="0018721A" w:rsidRPr="008C684F" w:rsidRDefault="0018721A" w:rsidP="0018721A">
            <w:pPr>
              <w:pStyle w:val="TableParagraph"/>
              <w:spacing w:before="240" w:after="240"/>
              <w:ind w:left="101" w:right="86"/>
              <w:jc w:val="both"/>
              <w:rPr>
                <w:sz w:val="24"/>
              </w:rPr>
            </w:pPr>
            <w:r w:rsidRPr="008C684F">
              <w:rPr>
                <w:sz w:val="24"/>
              </w:rPr>
              <w:t>Central office staff deals with quality adjustments. In regional level, interviewers cannot make adjustments; they are only instructed to report in central office for any considerable change on quality of the substituting</w:t>
            </w:r>
            <w:r w:rsidRPr="008C684F">
              <w:rPr>
                <w:spacing w:val="2"/>
                <w:sz w:val="24"/>
              </w:rPr>
              <w:t xml:space="preserve"> </w:t>
            </w:r>
            <w:r w:rsidRPr="008C684F">
              <w:rPr>
                <w:sz w:val="24"/>
              </w:rPr>
              <w:t>product.</w:t>
            </w:r>
          </w:p>
          <w:p w14:paraId="51A8BA2A" w14:textId="497E46D5" w:rsidR="0018721A" w:rsidRPr="008C684F" w:rsidRDefault="0018721A" w:rsidP="0018721A">
            <w:pPr>
              <w:pStyle w:val="TableParagraph"/>
              <w:spacing w:before="240" w:after="240"/>
              <w:ind w:left="101" w:right="86"/>
              <w:jc w:val="both"/>
              <w:rPr>
                <w:sz w:val="24"/>
              </w:rPr>
            </w:pPr>
            <w:r w:rsidRPr="008C684F">
              <w:rPr>
                <w:sz w:val="24"/>
              </w:rPr>
              <w:t>No seasonal adjustment is</w:t>
            </w:r>
            <w:r w:rsidRPr="008C684F">
              <w:rPr>
                <w:spacing w:val="-12"/>
                <w:sz w:val="24"/>
              </w:rPr>
              <w:t xml:space="preserve"> </w:t>
            </w:r>
            <w:r w:rsidR="00EE0422">
              <w:rPr>
                <w:sz w:val="24"/>
              </w:rPr>
              <w:t>applied</w:t>
            </w:r>
            <w:r w:rsidRPr="008C684F">
              <w:rPr>
                <w:sz w:val="24"/>
              </w:rPr>
              <w:t>.</w:t>
            </w:r>
          </w:p>
        </w:tc>
      </w:tr>
      <w:tr w:rsidR="0018721A" w:rsidRPr="008C684F" w14:paraId="41DF4C9A" w14:textId="77777777" w:rsidTr="003B0BBB">
        <w:trPr>
          <w:trHeight w:val="567"/>
        </w:trPr>
        <w:tc>
          <w:tcPr>
            <w:tcW w:w="2320" w:type="dxa"/>
            <w:shd w:val="clear" w:color="auto" w:fill="FBD4B4" w:themeFill="accent6" w:themeFillTint="66"/>
            <w:vAlign w:val="center"/>
            <w:hideMark/>
          </w:tcPr>
          <w:p w14:paraId="3F62D3D4" w14:textId="6B20B2B0"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37690494"/>
            <w:r w:rsidRPr="008C684F">
              <w:rPr>
                <w:rFonts w:ascii="Times New Roman" w:eastAsia="Times New Roman" w:hAnsi="Times New Roman" w:cs="Times New Roman"/>
                <w:noProof/>
                <w:color w:val="000000" w:themeColor="text1"/>
                <w:sz w:val="24"/>
                <w:szCs w:val="24"/>
                <w:lang w:val="sq-AL" w:eastAsia="sq-AL"/>
              </w:rPr>
              <w:lastRenderedPageBreak/>
              <w:t>19. Comment</w:t>
            </w:r>
            <w:bookmarkEnd w:id="19"/>
          </w:p>
        </w:tc>
        <w:tc>
          <w:tcPr>
            <w:tcW w:w="8071" w:type="dxa"/>
            <w:shd w:val="clear" w:color="auto" w:fill="auto"/>
            <w:noWrap/>
            <w:vAlign w:val="center"/>
            <w:hideMark/>
          </w:tcPr>
          <w:p w14:paraId="4D654A46"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p>
        </w:tc>
      </w:tr>
      <w:tr w:rsidR="0018721A" w:rsidRPr="008C684F" w14:paraId="11D22CD8" w14:textId="77777777" w:rsidTr="003B0BBB">
        <w:trPr>
          <w:trHeight w:val="567"/>
        </w:trPr>
        <w:tc>
          <w:tcPr>
            <w:tcW w:w="10391" w:type="dxa"/>
            <w:gridSpan w:val="2"/>
            <w:shd w:val="clear" w:color="auto" w:fill="FBD4B4" w:themeFill="accent6" w:themeFillTint="66"/>
            <w:vAlign w:val="center"/>
            <w:hideMark/>
          </w:tcPr>
          <w:p w14:paraId="2E8A7C60" w14:textId="6043B6AC" w:rsidR="0018721A" w:rsidRPr="008C684F" w:rsidRDefault="0018721A" w:rsidP="0018721A">
            <w:pPr>
              <w:pStyle w:val="Heading1"/>
              <w:spacing w:before="0"/>
              <w:rPr>
                <w:rFonts w:ascii="Times New Roman" w:eastAsia="Times New Roman" w:hAnsi="Times New Roman" w:cs="Times New Roman"/>
                <w:noProof/>
                <w:color w:val="000000"/>
                <w:sz w:val="24"/>
                <w:szCs w:val="24"/>
                <w:lang w:val="sq-AL" w:eastAsia="sq-AL"/>
              </w:rPr>
            </w:pPr>
            <w:bookmarkStart w:id="20" w:name="_Toc37690495"/>
            <w:r w:rsidRPr="008C684F">
              <w:rPr>
                <w:rFonts w:ascii="Times New Roman" w:eastAsia="Times New Roman" w:hAnsi="Times New Roman" w:cs="Times New Roman"/>
                <w:bCs w:val="0"/>
                <w:noProof/>
                <w:color w:val="000000"/>
                <w:sz w:val="24"/>
                <w:szCs w:val="24"/>
                <w:lang w:val="sq-AL" w:eastAsia="sq-AL"/>
              </w:rPr>
              <w:t>Annex</w:t>
            </w:r>
            <w:bookmarkEnd w:id="20"/>
          </w:p>
        </w:tc>
      </w:tr>
      <w:tr w:rsidR="0018721A" w:rsidRPr="008C684F" w14:paraId="28D5E03C" w14:textId="77777777" w:rsidTr="003B0BBB">
        <w:trPr>
          <w:trHeight w:val="567"/>
        </w:trPr>
        <w:tc>
          <w:tcPr>
            <w:tcW w:w="10391" w:type="dxa"/>
            <w:gridSpan w:val="2"/>
            <w:shd w:val="clear" w:color="auto" w:fill="auto"/>
            <w:vAlign w:val="center"/>
            <w:hideMark/>
          </w:tcPr>
          <w:p w14:paraId="470F1643" w14:textId="77777777" w:rsidR="0018721A" w:rsidRPr="008C684F" w:rsidRDefault="0018721A" w:rsidP="0018721A">
            <w:pPr>
              <w:spacing w:after="0"/>
              <w:rPr>
                <w:rFonts w:ascii="Times New Roman" w:eastAsia="Times New Roman" w:hAnsi="Times New Roman" w:cs="Times New Roman"/>
                <w:b/>
                <w:noProof/>
                <w:color w:val="000000"/>
                <w:sz w:val="24"/>
                <w:szCs w:val="24"/>
                <w:lang w:val="sq-AL" w:eastAsia="sq-AL"/>
              </w:rPr>
            </w:pPr>
          </w:p>
        </w:tc>
      </w:tr>
    </w:tbl>
    <w:p w14:paraId="300813BF" w14:textId="77777777" w:rsidR="00C41DD5" w:rsidRPr="008C684F" w:rsidRDefault="00C41DD5" w:rsidP="00C41DD5">
      <w:pPr>
        <w:tabs>
          <w:tab w:val="left" w:pos="4182"/>
        </w:tabs>
        <w:spacing w:after="0"/>
        <w:rPr>
          <w:rFonts w:ascii="Times New Roman" w:hAnsi="Times New Roman" w:cs="Times New Roman"/>
          <w:noProof/>
          <w:lang w:val="sq-AL"/>
        </w:rPr>
      </w:pPr>
    </w:p>
    <w:p w14:paraId="40EA57D6" w14:textId="77777777" w:rsidR="00C41DD5" w:rsidRPr="008C684F" w:rsidRDefault="00C41DD5" w:rsidP="00C41DD5">
      <w:pPr>
        <w:rPr>
          <w:rFonts w:ascii="Times New Roman" w:hAnsi="Times New Roman" w:cs="Times New Roman"/>
        </w:rPr>
      </w:pPr>
    </w:p>
    <w:p w14:paraId="79387139" w14:textId="77777777" w:rsidR="00911357" w:rsidRPr="008C684F" w:rsidRDefault="00911357">
      <w:pPr>
        <w:rPr>
          <w:rFonts w:ascii="Times New Roman" w:hAnsi="Times New Roman" w:cs="Times New Roman"/>
        </w:rPr>
      </w:pPr>
    </w:p>
    <w:sectPr w:rsidR="00911357" w:rsidRPr="008C684F" w:rsidSect="004F7E95">
      <w:footerReference w:type="default" r:id="rId24"/>
      <w:pgSz w:w="11906" w:h="16838"/>
      <w:pgMar w:top="108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8DDE4" w14:textId="77777777" w:rsidR="00410953" w:rsidRDefault="00410953">
      <w:pPr>
        <w:spacing w:after="0" w:line="240" w:lineRule="auto"/>
      </w:pPr>
      <w:r>
        <w:separator/>
      </w:r>
    </w:p>
  </w:endnote>
  <w:endnote w:type="continuationSeparator" w:id="0">
    <w:p w14:paraId="6201F806" w14:textId="77777777" w:rsidR="00410953" w:rsidRDefault="0041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14:paraId="39BD2D44" w14:textId="77777777" w:rsidR="00A8000D" w:rsidRDefault="00A8000D">
        <w:pPr>
          <w:pStyle w:val="Footer"/>
          <w:jc w:val="right"/>
        </w:pPr>
        <w:r>
          <w:fldChar w:fldCharType="begin"/>
        </w:r>
        <w:r>
          <w:instrText xml:space="preserve"> PAGE   \* MERGEFORMAT </w:instrText>
        </w:r>
        <w:r>
          <w:fldChar w:fldCharType="separate"/>
        </w:r>
        <w:r w:rsidR="00232A2E">
          <w:rPr>
            <w:noProof/>
          </w:rPr>
          <w:t>8</w:t>
        </w:r>
        <w:r>
          <w:rPr>
            <w:noProof/>
          </w:rPr>
          <w:fldChar w:fldCharType="end"/>
        </w:r>
      </w:p>
    </w:sdtContent>
  </w:sdt>
  <w:p w14:paraId="297E6ABD" w14:textId="77777777" w:rsidR="00A8000D" w:rsidRDefault="00A80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233EF" w14:textId="77777777" w:rsidR="00410953" w:rsidRDefault="00410953">
      <w:pPr>
        <w:spacing w:after="0" w:line="240" w:lineRule="auto"/>
      </w:pPr>
      <w:r>
        <w:separator/>
      </w:r>
    </w:p>
  </w:footnote>
  <w:footnote w:type="continuationSeparator" w:id="0">
    <w:p w14:paraId="16241DA9" w14:textId="77777777" w:rsidR="00410953" w:rsidRDefault="00410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9F0"/>
    <w:multiLevelType w:val="hybridMultilevel"/>
    <w:tmpl w:val="C64CD6A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nsid w:val="0CED0FFD"/>
    <w:multiLevelType w:val="hybridMultilevel"/>
    <w:tmpl w:val="6DE2E03C"/>
    <w:lvl w:ilvl="0" w:tplc="E77AD54C">
      <w:numFmt w:val="bullet"/>
      <w:lvlText w:val=""/>
      <w:lvlJc w:val="left"/>
      <w:pPr>
        <w:ind w:left="529" w:hanging="428"/>
      </w:pPr>
      <w:rPr>
        <w:rFonts w:ascii="Symbol" w:eastAsia="Symbol" w:hAnsi="Symbol" w:cs="Symbol" w:hint="default"/>
        <w:color w:val="auto"/>
        <w:w w:val="100"/>
        <w:sz w:val="24"/>
        <w:szCs w:val="24"/>
        <w:lang w:val="en-US" w:eastAsia="en-US" w:bidi="ar-SA"/>
      </w:rPr>
    </w:lvl>
    <w:lvl w:ilvl="1" w:tplc="E9FAD9A2">
      <w:numFmt w:val="bullet"/>
      <w:lvlText w:val="•"/>
      <w:lvlJc w:val="left"/>
      <w:pPr>
        <w:ind w:left="1140" w:hanging="428"/>
      </w:pPr>
      <w:rPr>
        <w:rFonts w:hint="default"/>
        <w:lang w:val="en-US" w:eastAsia="en-US" w:bidi="ar-SA"/>
      </w:rPr>
    </w:lvl>
    <w:lvl w:ilvl="2" w:tplc="98822A9A">
      <w:numFmt w:val="bullet"/>
      <w:lvlText w:val="•"/>
      <w:lvlJc w:val="left"/>
      <w:pPr>
        <w:ind w:left="1746" w:hanging="428"/>
      </w:pPr>
      <w:rPr>
        <w:rFonts w:hint="default"/>
        <w:lang w:val="en-US" w:eastAsia="en-US" w:bidi="ar-SA"/>
      </w:rPr>
    </w:lvl>
    <w:lvl w:ilvl="3" w:tplc="D3782A6A">
      <w:numFmt w:val="bullet"/>
      <w:lvlText w:val="•"/>
      <w:lvlJc w:val="left"/>
      <w:pPr>
        <w:ind w:left="2351" w:hanging="428"/>
      </w:pPr>
      <w:rPr>
        <w:rFonts w:hint="default"/>
        <w:lang w:val="en-US" w:eastAsia="en-US" w:bidi="ar-SA"/>
      </w:rPr>
    </w:lvl>
    <w:lvl w:ilvl="4" w:tplc="AF04C684">
      <w:numFmt w:val="bullet"/>
      <w:lvlText w:val="•"/>
      <w:lvlJc w:val="left"/>
      <w:pPr>
        <w:ind w:left="2957" w:hanging="428"/>
      </w:pPr>
      <w:rPr>
        <w:rFonts w:hint="default"/>
        <w:lang w:val="en-US" w:eastAsia="en-US" w:bidi="ar-SA"/>
      </w:rPr>
    </w:lvl>
    <w:lvl w:ilvl="5" w:tplc="2C2CE1E4">
      <w:numFmt w:val="bullet"/>
      <w:lvlText w:val="•"/>
      <w:lvlJc w:val="left"/>
      <w:pPr>
        <w:ind w:left="3563" w:hanging="428"/>
      </w:pPr>
      <w:rPr>
        <w:rFonts w:hint="default"/>
        <w:lang w:val="en-US" w:eastAsia="en-US" w:bidi="ar-SA"/>
      </w:rPr>
    </w:lvl>
    <w:lvl w:ilvl="6" w:tplc="A102773A">
      <w:numFmt w:val="bullet"/>
      <w:lvlText w:val="•"/>
      <w:lvlJc w:val="left"/>
      <w:pPr>
        <w:ind w:left="4168" w:hanging="428"/>
      </w:pPr>
      <w:rPr>
        <w:rFonts w:hint="default"/>
        <w:lang w:val="en-US" w:eastAsia="en-US" w:bidi="ar-SA"/>
      </w:rPr>
    </w:lvl>
    <w:lvl w:ilvl="7" w:tplc="5FC6CBE0">
      <w:numFmt w:val="bullet"/>
      <w:lvlText w:val="•"/>
      <w:lvlJc w:val="left"/>
      <w:pPr>
        <w:ind w:left="4774" w:hanging="428"/>
      </w:pPr>
      <w:rPr>
        <w:rFonts w:hint="default"/>
        <w:lang w:val="en-US" w:eastAsia="en-US" w:bidi="ar-SA"/>
      </w:rPr>
    </w:lvl>
    <w:lvl w:ilvl="8" w:tplc="CF72DC06">
      <w:numFmt w:val="bullet"/>
      <w:lvlText w:val="•"/>
      <w:lvlJc w:val="left"/>
      <w:pPr>
        <w:ind w:left="5379" w:hanging="428"/>
      </w:pPr>
      <w:rPr>
        <w:rFonts w:hint="default"/>
        <w:lang w:val="en-US" w:eastAsia="en-US" w:bidi="ar-SA"/>
      </w:rPr>
    </w:lvl>
  </w:abstractNum>
  <w:abstractNum w:abstractNumId="2">
    <w:nsid w:val="10276A39"/>
    <w:multiLevelType w:val="hybridMultilevel"/>
    <w:tmpl w:val="0E24ED5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nsid w:val="11D07ADD"/>
    <w:multiLevelType w:val="hybridMultilevel"/>
    <w:tmpl w:val="25069BEE"/>
    <w:lvl w:ilvl="0" w:tplc="65747E58">
      <w:numFmt w:val="bullet"/>
      <w:lvlText w:val=""/>
      <w:lvlJc w:val="left"/>
      <w:pPr>
        <w:ind w:left="529" w:hanging="428"/>
      </w:pPr>
      <w:rPr>
        <w:rFonts w:ascii="Symbol" w:eastAsia="Symbol" w:hAnsi="Symbol" w:cs="Symbol" w:hint="default"/>
        <w:w w:val="100"/>
        <w:sz w:val="24"/>
        <w:szCs w:val="24"/>
        <w:lang w:val="en-US" w:eastAsia="en-US" w:bidi="ar-SA"/>
      </w:rPr>
    </w:lvl>
    <w:lvl w:ilvl="1" w:tplc="532406BE">
      <w:numFmt w:val="bullet"/>
      <w:lvlText w:val="•"/>
      <w:lvlJc w:val="left"/>
      <w:pPr>
        <w:ind w:left="1140" w:hanging="428"/>
      </w:pPr>
      <w:rPr>
        <w:rFonts w:hint="default"/>
        <w:lang w:val="en-US" w:eastAsia="en-US" w:bidi="ar-SA"/>
      </w:rPr>
    </w:lvl>
    <w:lvl w:ilvl="2" w:tplc="161ED908">
      <w:numFmt w:val="bullet"/>
      <w:lvlText w:val="•"/>
      <w:lvlJc w:val="left"/>
      <w:pPr>
        <w:ind w:left="1746" w:hanging="428"/>
      </w:pPr>
      <w:rPr>
        <w:rFonts w:hint="default"/>
        <w:lang w:val="en-US" w:eastAsia="en-US" w:bidi="ar-SA"/>
      </w:rPr>
    </w:lvl>
    <w:lvl w:ilvl="3" w:tplc="C3FA06A4">
      <w:numFmt w:val="bullet"/>
      <w:lvlText w:val="•"/>
      <w:lvlJc w:val="left"/>
      <w:pPr>
        <w:ind w:left="2351" w:hanging="428"/>
      </w:pPr>
      <w:rPr>
        <w:rFonts w:hint="default"/>
        <w:lang w:val="en-US" w:eastAsia="en-US" w:bidi="ar-SA"/>
      </w:rPr>
    </w:lvl>
    <w:lvl w:ilvl="4" w:tplc="0574B210">
      <w:numFmt w:val="bullet"/>
      <w:lvlText w:val="•"/>
      <w:lvlJc w:val="left"/>
      <w:pPr>
        <w:ind w:left="2957" w:hanging="428"/>
      </w:pPr>
      <w:rPr>
        <w:rFonts w:hint="default"/>
        <w:lang w:val="en-US" w:eastAsia="en-US" w:bidi="ar-SA"/>
      </w:rPr>
    </w:lvl>
    <w:lvl w:ilvl="5" w:tplc="C60435E4">
      <w:numFmt w:val="bullet"/>
      <w:lvlText w:val="•"/>
      <w:lvlJc w:val="left"/>
      <w:pPr>
        <w:ind w:left="3563" w:hanging="428"/>
      </w:pPr>
      <w:rPr>
        <w:rFonts w:hint="default"/>
        <w:lang w:val="en-US" w:eastAsia="en-US" w:bidi="ar-SA"/>
      </w:rPr>
    </w:lvl>
    <w:lvl w:ilvl="6" w:tplc="CE7C12AA">
      <w:numFmt w:val="bullet"/>
      <w:lvlText w:val="•"/>
      <w:lvlJc w:val="left"/>
      <w:pPr>
        <w:ind w:left="4168" w:hanging="428"/>
      </w:pPr>
      <w:rPr>
        <w:rFonts w:hint="default"/>
        <w:lang w:val="en-US" w:eastAsia="en-US" w:bidi="ar-SA"/>
      </w:rPr>
    </w:lvl>
    <w:lvl w:ilvl="7" w:tplc="49D019D6">
      <w:numFmt w:val="bullet"/>
      <w:lvlText w:val="•"/>
      <w:lvlJc w:val="left"/>
      <w:pPr>
        <w:ind w:left="4774" w:hanging="428"/>
      </w:pPr>
      <w:rPr>
        <w:rFonts w:hint="default"/>
        <w:lang w:val="en-US" w:eastAsia="en-US" w:bidi="ar-SA"/>
      </w:rPr>
    </w:lvl>
    <w:lvl w:ilvl="8" w:tplc="6E6EE730">
      <w:numFmt w:val="bullet"/>
      <w:lvlText w:val="•"/>
      <w:lvlJc w:val="left"/>
      <w:pPr>
        <w:ind w:left="5379" w:hanging="428"/>
      </w:pPr>
      <w:rPr>
        <w:rFonts w:hint="default"/>
        <w:lang w:val="en-US" w:eastAsia="en-US" w:bidi="ar-SA"/>
      </w:rPr>
    </w:lvl>
  </w:abstractNum>
  <w:abstractNum w:abstractNumId="4">
    <w:nsid w:val="1C5B1172"/>
    <w:multiLevelType w:val="hybridMultilevel"/>
    <w:tmpl w:val="FFBA4BC2"/>
    <w:lvl w:ilvl="0" w:tplc="CFA200BE">
      <w:numFmt w:val="bullet"/>
      <w:lvlText w:val=""/>
      <w:lvlJc w:val="left"/>
      <w:pPr>
        <w:ind w:left="894" w:hanging="428"/>
      </w:pPr>
      <w:rPr>
        <w:rFonts w:ascii="Symbol" w:eastAsia="Symbol" w:hAnsi="Symbol" w:cs="Symbol" w:hint="default"/>
        <w:w w:val="100"/>
        <w:sz w:val="24"/>
        <w:szCs w:val="24"/>
        <w:lang w:val="en-US" w:eastAsia="en-US" w:bidi="ar-SA"/>
      </w:rPr>
    </w:lvl>
    <w:lvl w:ilvl="1" w:tplc="D0EC93D6">
      <w:numFmt w:val="bullet"/>
      <w:lvlText w:val="o"/>
      <w:lvlJc w:val="left"/>
      <w:pPr>
        <w:ind w:left="1211" w:hanging="252"/>
      </w:pPr>
      <w:rPr>
        <w:rFonts w:ascii="Courier New" w:eastAsia="Courier New" w:hAnsi="Courier New" w:cs="Courier New" w:hint="default"/>
        <w:w w:val="100"/>
        <w:sz w:val="24"/>
        <w:szCs w:val="24"/>
        <w:lang w:val="en-US" w:eastAsia="en-US" w:bidi="ar-SA"/>
      </w:rPr>
    </w:lvl>
    <w:lvl w:ilvl="2" w:tplc="E39699CC">
      <w:numFmt w:val="bullet"/>
      <w:lvlText w:val="•"/>
      <w:lvlJc w:val="left"/>
      <w:pPr>
        <w:ind w:left="1857" w:hanging="252"/>
      </w:pPr>
      <w:rPr>
        <w:rFonts w:hint="default"/>
        <w:lang w:val="en-US" w:eastAsia="en-US" w:bidi="ar-SA"/>
      </w:rPr>
    </w:lvl>
    <w:lvl w:ilvl="3" w:tplc="9E5E0C40">
      <w:numFmt w:val="bullet"/>
      <w:lvlText w:val="•"/>
      <w:lvlJc w:val="left"/>
      <w:pPr>
        <w:ind w:left="2494" w:hanging="252"/>
      </w:pPr>
      <w:rPr>
        <w:rFonts w:hint="default"/>
        <w:lang w:val="en-US" w:eastAsia="en-US" w:bidi="ar-SA"/>
      </w:rPr>
    </w:lvl>
    <w:lvl w:ilvl="4" w:tplc="3F6450F6">
      <w:numFmt w:val="bullet"/>
      <w:lvlText w:val="•"/>
      <w:lvlJc w:val="left"/>
      <w:pPr>
        <w:ind w:left="3132" w:hanging="252"/>
      </w:pPr>
      <w:rPr>
        <w:rFonts w:hint="default"/>
        <w:lang w:val="en-US" w:eastAsia="en-US" w:bidi="ar-SA"/>
      </w:rPr>
    </w:lvl>
    <w:lvl w:ilvl="5" w:tplc="4920B168">
      <w:numFmt w:val="bullet"/>
      <w:lvlText w:val="•"/>
      <w:lvlJc w:val="left"/>
      <w:pPr>
        <w:ind w:left="3769" w:hanging="252"/>
      </w:pPr>
      <w:rPr>
        <w:rFonts w:hint="default"/>
        <w:lang w:val="en-US" w:eastAsia="en-US" w:bidi="ar-SA"/>
      </w:rPr>
    </w:lvl>
    <w:lvl w:ilvl="6" w:tplc="80DA9DA2">
      <w:numFmt w:val="bullet"/>
      <w:lvlText w:val="•"/>
      <w:lvlJc w:val="left"/>
      <w:pPr>
        <w:ind w:left="4406" w:hanging="252"/>
      </w:pPr>
      <w:rPr>
        <w:rFonts w:hint="default"/>
        <w:lang w:val="en-US" w:eastAsia="en-US" w:bidi="ar-SA"/>
      </w:rPr>
    </w:lvl>
    <w:lvl w:ilvl="7" w:tplc="F5F0A98E">
      <w:numFmt w:val="bullet"/>
      <w:lvlText w:val="•"/>
      <w:lvlJc w:val="left"/>
      <w:pPr>
        <w:ind w:left="5044" w:hanging="252"/>
      </w:pPr>
      <w:rPr>
        <w:rFonts w:hint="default"/>
        <w:lang w:val="en-US" w:eastAsia="en-US" w:bidi="ar-SA"/>
      </w:rPr>
    </w:lvl>
    <w:lvl w:ilvl="8" w:tplc="298067A0">
      <w:numFmt w:val="bullet"/>
      <w:lvlText w:val="•"/>
      <w:lvlJc w:val="left"/>
      <w:pPr>
        <w:ind w:left="5681" w:hanging="252"/>
      </w:pPr>
      <w:rPr>
        <w:rFonts w:hint="default"/>
        <w:lang w:val="en-US" w:eastAsia="en-US" w:bidi="ar-SA"/>
      </w:rPr>
    </w:lvl>
  </w:abstractNum>
  <w:abstractNum w:abstractNumId="5">
    <w:nsid w:val="1DFB6CAA"/>
    <w:multiLevelType w:val="hybridMultilevel"/>
    <w:tmpl w:val="0F06B860"/>
    <w:lvl w:ilvl="0" w:tplc="E22A27D8">
      <w:start w:val="2"/>
      <w:numFmt w:val="decimalZero"/>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DAFC96F0">
      <w:numFmt w:val="bullet"/>
      <w:lvlText w:val="•"/>
      <w:lvlJc w:val="left"/>
      <w:pPr>
        <w:ind w:left="1055" w:hanging="303"/>
      </w:pPr>
      <w:rPr>
        <w:rFonts w:hint="default"/>
        <w:lang w:val="en-US" w:eastAsia="en-US" w:bidi="ar-SA"/>
      </w:rPr>
    </w:lvl>
    <w:lvl w:ilvl="2" w:tplc="19203734">
      <w:numFmt w:val="bullet"/>
      <w:lvlText w:val="•"/>
      <w:lvlJc w:val="left"/>
      <w:pPr>
        <w:ind w:left="1711" w:hanging="303"/>
      </w:pPr>
      <w:rPr>
        <w:rFonts w:hint="default"/>
        <w:lang w:val="en-US" w:eastAsia="en-US" w:bidi="ar-SA"/>
      </w:rPr>
    </w:lvl>
    <w:lvl w:ilvl="3" w:tplc="2B1AF16E">
      <w:numFmt w:val="bullet"/>
      <w:lvlText w:val="•"/>
      <w:lvlJc w:val="left"/>
      <w:pPr>
        <w:ind w:left="2366" w:hanging="303"/>
      </w:pPr>
      <w:rPr>
        <w:rFonts w:hint="default"/>
        <w:lang w:val="en-US" w:eastAsia="en-US" w:bidi="ar-SA"/>
      </w:rPr>
    </w:lvl>
    <w:lvl w:ilvl="4" w:tplc="CF020CB8">
      <w:numFmt w:val="bullet"/>
      <w:lvlText w:val="•"/>
      <w:lvlJc w:val="left"/>
      <w:pPr>
        <w:ind w:left="3022" w:hanging="303"/>
      </w:pPr>
      <w:rPr>
        <w:rFonts w:hint="default"/>
        <w:lang w:val="en-US" w:eastAsia="en-US" w:bidi="ar-SA"/>
      </w:rPr>
    </w:lvl>
    <w:lvl w:ilvl="5" w:tplc="33E4FB9E">
      <w:numFmt w:val="bullet"/>
      <w:lvlText w:val="•"/>
      <w:lvlJc w:val="left"/>
      <w:pPr>
        <w:ind w:left="3678" w:hanging="303"/>
      </w:pPr>
      <w:rPr>
        <w:rFonts w:hint="default"/>
        <w:lang w:val="en-US" w:eastAsia="en-US" w:bidi="ar-SA"/>
      </w:rPr>
    </w:lvl>
    <w:lvl w:ilvl="6" w:tplc="82F44006">
      <w:numFmt w:val="bullet"/>
      <w:lvlText w:val="•"/>
      <w:lvlJc w:val="left"/>
      <w:pPr>
        <w:ind w:left="4333" w:hanging="303"/>
      </w:pPr>
      <w:rPr>
        <w:rFonts w:hint="default"/>
        <w:lang w:val="en-US" w:eastAsia="en-US" w:bidi="ar-SA"/>
      </w:rPr>
    </w:lvl>
    <w:lvl w:ilvl="7" w:tplc="AFB8B5FC">
      <w:numFmt w:val="bullet"/>
      <w:lvlText w:val="•"/>
      <w:lvlJc w:val="left"/>
      <w:pPr>
        <w:ind w:left="4989" w:hanging="303"/>
      </w:pPr>
      <w:rPr>
        <w:rFonts w:hint="default"/>
        <w:lang w:val="en-US" w:eastAsia="en-US" w:bidi="ar-SA"/>
      </w:rPr>
    </w:lvl>
    <w:lvl w:ilvl="8" w:tplc="340AC2DA">
      <w:numFmt w:val="bullet"/>
      <w:lvlText w:val="•"/>
      <w:lvlJc w:val="left"/>
      <w:pPr>
        <w:ind w:left="5644" w:hanging="303"/>
      </w:pPr>
      <w:rPr>
        <w:rFonts w:hint="default"/>
        <w:lang w:val="en-US" w:eastAsia="en-US" w:bidi="ar-SA"/>
      </w:rPr>
    </w:lvl>
  </w:abstractNum>
  <w:abstractNum w:abstractNumId="6">
    <w:nsid w:val="20162185"/>
    <w:multiLevelType w:val="hybridMultilevel"/>
    <w:tmpl w:val="2EE8D226"/>
    <w:lvl w:ilvl="0" w:tplc="0B54F0BC">
      <w:numFmt w:val="bullet"/>
      <w:lvlText w:val=""/>
      <w:lvlJc w:val="left"/>
      <w:pPr>
        <w:ind w:left="541" w:hanging="440"/>
      </w:pPr>
      <w:rPr>
        <w:rFonts w:ascii="Symbol" w:eastAsia="Symbol" w:hAnsi="Symbol" w:cs="Symbol" w:hint="default"/>
        <w:w w:val="100"/>
        <w:sz w:val="24"/>
        <w:szCs w:val="24"/>
        <w:lang w:val="en-US" w:eastAsia="en-US" w:bidi="ar-SA"/>
      </w:rPr>
    </w:lvl>
    <w:lvl w:ilvl="1" w:tplc="F6F0ECE4">
      <w:numFmt w:val="bullet"/>
      <w:lvlText w:val="•"/>
      <w:lvlJc w:val="left"/>
      <w:pPr>
        <w:ind w:left="1147" w:hanging="440"/>
      </w:pPr>
      <w:rPr>
        <w:rFonts w:hint="default"/>
        <w:lang w:val="en-US" w:eastAsia="en-US" w:bidi="ar-SA"/>
      </w:rPr>
    </w:lvl>
    <w:lvl w:ilvl="2" w:tplc="A99A15C8">
      <w:numFmt w:val="bullet"/>
      <w:lvlText w:val="•"/>
      <w:lvlJc w:val="left"/>
      <w:pPr>
        <w:ind w:left="1761" w:hanging="440"/>
      </w:pPr>
      <w:rPr>
        <w:rFonts w:hint="default"/>
        <w:lang w:val="en-US" w:eastAsia="en-US" w:bidi="ar-SA"/>
      </w:rPr>
    </w:lvl>
    <w:lvl w:ilvl="3" w:tplc="E544E7A0">
      <w:numFmt w:val="bullet"/>
      <w:lvlText w:val="•"/>
      <w:lvlJc w:val="left"/>
      <w:pPr>
        <w:ind w:left="2374" w:hanging="440"/>
      </w:pPr>
      <w:rPr>
        <w:rFonts w:hint="default"/>
        <w:lang w:val="en-US" w:eastAsia="en-US" w:bidi="ar-SA"/>
      </w:rPr>
    </w:lvl>
    <w:lvl w:ilvl="4" w:tplc="90603470">
      <w:numFmt w:val="bullet"/>
      <w:lvlText w:val="•"/>
      <w:lvlJc w:val="left"/>
      <w:pPr>
        <w:ind w:left="2988" w:hanging="440"/>
      </w:pPr>
      <w:rPr>
        <w:rFonts w:hint="default"/>
        <w:lang w:val="en-US" w:eastAsia="en-US" w:bidi="ar-SA"/>
      </w:rPr>
    </w:lvl>
    <w:lvl w:ilvl="5" w:tplc="120825BE">
      <w:numFmt w:val="bullet"/>
      <w:lvlText w:val="•"/>
      <w:lvlJc w:val="left"/>
      <w:pPr>
        <w:ind w:left="3602" w:hanging="440"/>
      </w:pPr>
      <w:rPr>
        <w:rFonts w:hint="default"/>
        <w:lang w:val="en-US" w:eastAsia="en-US" w:bidi="ar-SA"/>
      </w:rPr>
    </w:lvl>
    <w:lvl w:ilvl="6" w:tplc="46B4BAC0">
      <w:numFmt w:val="bullet"/>
      <w:lvlText w:val="•"/>
      <w:lvlJc w:val="left"/>
      <w:pPr>
        <w:ind w:left="4215" w:hanging="440"/>
      </w:pPr>
      <w:rPr>
        <w:rFonts w:hint="default"/>
        <w:lang w:val="en-US" w:eastAsia="en-US" w:bidi="ar-SA"/>
      </w:rPr>
    </w:lvl>
    <w:lvl w:ilvl="7" w:tplc="D03058D2">
      <w:numFmt w:val="bullet"/>
      <w:lvlText w:val="•"/>
      <w:lvlJc w:val="left"/>
      <w:pPr>
        <w:ind w:left="4829" w:hanging="440"/>
      </w:pPr>
      <w:rPr>
        <w:rFonts w:hint="default"/>
        <w:lang w:val="en-US" w:eastAsia="en-US" w:bidi="ar-SA"/>
      </w:rPr>
    </w:lvl>
    <w:lvl w:ilvl="8" w:tplc="D632CDD6">
      <w:numFmt w:val="bullet"/>
      <w:lvlText w:val="•"/>
      <w:lvlJc w:val="left"/>
      <w:pPr>
        <w:ind w:left="5442" w:hanging="440"/>
      </w:pPr>
      <w:rPr>
        <w:rFonts w:hint="default"/>
        <w:lang w:val="en-US" w:eastAsia="en-US" w:bidi="ar-SA"/>
      </w:rPr>
    </w:lvl>
  </w:abstractNum>
  <w:abstractNum w:abstractNumId="7">
    <w:nsid w:val="21D513C0"/>
    <w:multiLevelType w:val="hybridMultilevel"/>
    <w:tmpl w:val="936E7FB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nsid w:val="28143886"/>
    <w:multiLevelType w:val="hybridMultilevel"/>
    <w:tmpl w:val="7DB049D2"/>
    <w:lvl w:ilvl="0" w:tplc="88BE7DF8">
      <w:start w:val="6"/>
      <w:numFmt w:val="decimalZero"/>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069AB990">
      <w:numFmt w:val="bullet"/>
      <w:lvlText w:val="•"/>
      <w:lvlJc w:val="left"/>
      <w:pPr>
        <w:ind w:left="1055" w:hanging="303"/>
      </w:pPr>
      <w:rPr>
        <w:rFonts w:hint="default"/>
        <w:lang w:val="en-US" w:eastAsia="en-US" w:bidi="ar-SA"/>
      </w:rPr>
    </w:lvl>
    <w:lvl w:ilvl="2" w:tplc="7788260C">
      <w:numFmt w:val="bullet"/>
      <w:lvlText w:val="•"/>
      <w:lvlJc w:val="left"/>
      <w:pPr>
        <w:ind w:left="1711" w:hanging="303"/>
      </w:pPr>
      <w:rPr>
        <w:rFonts w:hint="default"/>
        <w:lang w:val="en-US" w:eastAsia="en-US" w:bidi="ar-SA"/>
      </w:rPr>
    </w:lvl>
    <w:lvl w:ilvl="3" w:tplc="2856B9BE">
      <w:numFmt w:val="bullet"/>
      <w:lvlText w:val="•"/>
      <w:lvlJc w:val="left"/>
      <w:pPr>
        <w:ind w:left="2366" w:hanging="303"/>
      </w:pPr>
      <w:rPr>
        <w:rFonts w:hint="default"/>
        <w:lang w:val="en-US" w:eastAsia="en-US" w:bidi="ar-SA"/>
      </w:rPr>
    </w:lvl>
    <w:lvl w:ilvl="4" w:tplc="52E0AB68">
      <w:numFmt w:val="bullet"/>
      <w:lvlText w:val="•"/>
      <w:lvlJc w:val="left"/>
      <w:pPr>
        <w:ind w:left="3022" w:hanging="303"/>
      </w:pPr>
      <w:rPr>
        <w:rFonts w:hint="default"/>
        <w:lang w:val="en-US" w:eastAsia="en-US" w:bidi="ar-SA"/>
      </w:rPr>
    </w:lvl>
    <w:lvl w:ilvl="5" w:tplc="59BAA758">
      <w:numFmt w:val="bullet"/>
      <w:lvlText w:val="•"/>
      <w:lvlJc w:val="left"/>
      <w:pPr>
        <w:ind w:left="3678" w:hanging="303"/>
      </w:pPr>
      <w:rPr>
        <w:rFonts w:hint="default"/>
        <w:lang w:val="en-US" w:eastAsia="en-US" w:bidi="ar-SA"/>
      </w:rPr>
    </w:lvl>
    <w:lvl w:ilvl="6" w:tplc="46E29AF4">
      <w:numFmt w:val="bullet"/>
      <w:lvlText w:val="•"/>
      <w:lvlJc w:val="left"/>
      <w:pPr>
        <w:ind w:left="4333" w:hanging="303"/>
      </w:pPr>
      <w:rPr>
        <w:rFonts w:hint="default"/>
        <w:lang w:val="en-US" w:eastAsia="en-US" w:bidi="ar-SA"/>
      </w:rPr>
    </w:lvl>
    <w:lvl w:ilvl="7" w:tplc="07663B46">
      <w:numFmt w:val="bullet"/>
      <w:lvlText w:val="•"/>
      <w:lvlJc w:val="left"/>
      <w:pPr>
        <w:ind w:left="4989" w:hanging="303"/>
      </w:pPr>
      <w:rPr>
        <w:rFonts w:hint="default"/>
        <w:lang w:val="en-US" w:eastAsia="en-US" w:bidi="ar-SA"/>
      </w:rPr>
    </w:lvl>
    <w:lvl w:ilvl="8" w:tplc="4DA64D92">
      <w:numFmt w:val="bullet"/>
      <w:lvlText w:val="•"/>
      <w:lvlJc w:val="left"/>
      <w:pPr>
        <w:ind w:left="5644" w:hanging="303"/>
      </w:pPr>
      <w:rPr>
        <w:rFonts w:hint="default"/>
        <w:lang w:val="en-US" w:eastAsia="en-US" w:bidi="ar-SA"/>
      </w:rPr>
    </w:lvl>
  </w:abstractNum>
  <w:abstractNum w:abstractNumId="9">
    <w:nsid w:val="2E7A4633"/>
    <w:multiLevelType w:val="hybridMultilevel"/>
    <w:tmpl w:val="9D543D56"/>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0">
    <w:nsid w:val="2F4806C9"/>
    <w:multiLevelType w:val="hybridMultilevel"/>
    <w:tmpl w:val="7F02EA2C"/>
    <w:lvl w:ilvl="0" w:tplc="0B54F0BC">
      <w:numFmt w:val="bullet"/>
      <w:lvlText w:val=""/>
      <w:lvlJc w:val="left"/>
      <w:pPr>
        <w:ind w:left="541" w:hanging="44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1">
    <w:nsid w:val="328C64C5"/>
    <w:multiLevelType w:val="hybridMultilevel"/>
    <w:tmpl w:val="58A88A46"/>
    <w:lvl w:ilvl="0" w:tplc="24B6D73E">
      <w:start w:val="2"/>
      <w:numFmt w:val="decimalZero"/>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09241030">
      <w:numFmt w:val="bullet"/>
      <w:lvlText w:val="•"/>
      <w:lvlJc w:val="left"/>
      <w:pPr>
        <w:ind w:left="1055" w:hanging="303"/>
      </w:pPr>
      <w:rPr>
        <w:rFonts w:hint="default"/>
        <w:lang w:val="en-US" w:eastAsia="en-US" w:bidi="ar-SA"/>
      </w:rPr>
    </w:lvl>
    <w:lvl w:ilvl="2" w:tplc="69DEFED4">
      <w:numFmt w:val="bullet"/>
      <w:lvlText w:val="•"/>
      <w:lvlJc w:val="left"/>
      <w:pPr>
        <w:ind w:left="1711" w:hanging="303"/>
      </w:pPr>
      <w:rPr>
        <w:rFonts w:hint="default"/>
        <w:lang w:val="en-US" w:eastAsia="en-US" w:bidi="ar-SA"/>
      </w:rPr>
    </w:lvl>
    <w:lvl w:ilvl="3" w:tplc="A0067EA0">
      <w:numFmt w:val="bullet"/>
      <w:lvlText w:val="•"/>
      <w:lvlJc w:val="left"/>
      <w:pPr>
        <w:ind w:left="2366" w:hanging="303"/>
      </w:pPr>
      <w:rPr>
        <w:rFonts w:hint="default"/>
        <w:lang w:val="en-US" w:eastAsia="en-US" w:bidi="ar-SA"/>
      </w:rPr>
    </w:lvl>
    <w:lvl w:ilvl="4" w:tplc="4AF06038">
      <w:numFmt w:val="bullet"/>
      <w:lvlText w:val="•"/>
      <w:lvlJc w:val="left"/>
      <w:pPr>
        <w:ind w:left="3022" w:hanging="303"/>
      </w:pPr>
      <w:rPr>
        <w:rFonts w:hint="default"/>
        <w:lang w:val="en-US" w:eastAsia="en-US" w:bidi="ar-SA"/>
      </w:rPr>
    </w:lvl>
    <w:lvl w:ilvl="5" w:tplc="C352D48A">
      <w:numFmt w:val="bullet"/>
      <w:lvlText w:val="•"/>
      <w:lvlJc w:val="left"/>
      <w:pPr>
        <w:ind w:left="3678" w:hanging="303"/>
      </w:pPr>
      <w:rPr>
        <w:rFonts w:hint="default"/>
        <w:lang w:val="en-US" w:eastAsia="en-US" w:bidi="ar-SA"/>
      </w:rPr>
    </w:lvl>
    <w:lvl w:ilvl="6" w:tplc="6136C116">
      <w:numFmt w:val="bullet"/>
      <w:lvlText w:val="•"/>
      <w:lvlJc w:val="left"/>
      <w:pPr>
        <w:ind w:left="4333" w:hanging="303"/>
      </w:pPr>
      <w:rPr>
        <w:rFonts w:hint="default"/>
        <w:lang w:val="en-US" w:eastAsia="en-US" w:bidi="ar-SA"/>
      </w:rPr>
    </w:lvl>
    <w:lvl w:ilvl="7" w:tplc="EA100F10">
      <w:numFmt w:val="bullet"/>
      <w:lvlText w:val="•"/>
      <w:lvlJc w:val="left"/>
      <w:pPr>
        <w:ind w:left="4989" w:hanging="303"/>
      </w:pPr>
      <w:rPr>
        <w:rFonts w:hint="default"/>
        <w:lang w:val="en-US" w:eastAsia="en-US" w:bidi="ar-SA"/>
      </w:rPr>
    </w:lvl>
    <w:lvl w:ilvl="8" w:tplc="4BA0C800">
      <w:numFmt w:val="bullet"/>
      <w:lvlText w:val="•"/>
      <w:lvlJc w:val="left"/>
      <w:pPr>
        <w:ind w:left="5644" w:hanging="303"/>
      </w:pPr>
      <w:rPr>
        <w:rFonts w:hint="default"/>
        <w:lang w:val="en-US" w:eastAsia="en-US" w:bidi="ar-SA"/>
      </w:rPr>
    </w:lvl>
  </w:abstractNum>
  <w:abstractNum w:abstractNumId="12">
    <w:nsid w:val="3AC608C5"/>
    <w:multiLevelType w:val="hybridMultilevel"/>
    <w:tmpl w:val="6CDCD098"/>
    <w:lvl w:ilvl="0" w:tplc="0B620FA0">
      <w:numFmt w:val="bullet"/>
      <w:lvlText w:val=""/>
      <w:lvlJc w:val="left"/>
      <w:pPr>
        <w:ind w:left="462" w:hanging="360"/>
      </w:pPr>
      <w:rPr>
        <w:rFonts w:ascii="Symbol" w:eastAsia="Symbol" w:hAnsi="Symbol" w:cs="Symbol" w:hint="default"/>
        <w:color w:val="auto"/>
        <w:w w:val="100"/>
        <w:sz w:val="24"/>
        <w:szCs w:val="24"/>
        <w:lang w:val="en-US" w:eastAsia="en-US" w:bidi="ar-SA"/>
      </w:rPr>
    </w:lvl>
    <w:lvl w:ilvl="1" w:tplc="66BE0188">
      <w:numFmt w:val="bullet"/>
      <w:lvlText w:val="•"/>
      <w:lvlJc w:val="left"/>
      <w:pPr>
        <w:ind w:left="1068" w:hanging="360"/>
      </w:pPr>
      <w:rPr>
        <w:rFonts w:hint="default"/>
        <w:lang w:val="en-US" w:eastAsia="en-US" w:bidi="ar-SA"/>
      </w:rPr>
    </w:lvl>
    <w:lvl w:ilvl="2" w:tplc="1BDE9954">
      <w:numFmt w:val="bullet"/>
      <w:lvlText w:val="•"/>
      <w:lvlJc w:val="left"/>
      <w:pPr>
        <w:ind w:left="1682" w:hanging="360"/>
      </w:pPr>
      <w:rPr>
        <w:rFonts w:hint="default"/>
        <w:lang w:val="en-US" w:eastAsia="en-US" w:bidi="ar-SA"/>
      </w:rPr>
    </w:lvl>
    <w:lvl w:ilvl="3" w:tplc="D5522922">
      <w:numFmt w:val="bullet"/>
      <w:lvlText w:val="•"/>
      <w:lvlJc w:val="left"/>
      <w:pPr>
        <w:ind w:left="2295" w:hanging="360"/>
      </w:pPr>
      <w:rPr>
        <w:rFonts w:hint="default"/>
        <w:lang w:val="en-US" w:eastAsia="en-US" w:bidi="ar-SA"/>
      </w:rPr>
    </w:lvl>
    <w:lvl w:ilvl="4" w:tplc="4B36D3A6">
      <w:numFmt w:val="bullet"/>
      <w:lvlText w:val="•"/>
      <w:lvlJc w:val="left"/>
      <w:pPr>
        <w:ind w:left="2909" w:hanging="360"/>
      </w:pPr>
      <w:rPr>
        <w:rFonts w:hint="default"/>
        <w:lang w:val="en-US" w:eastAsia="en-US" w:bidi="ar-SA"/>
      </w:rPr>
    </w:lvl>
    <w:lvl w:ilvl="5" w:tplc="31AAA7E6">
      <w:numFmt w:val="bullet"/>
      <w:lvlText w:val="•"/>
      <w:lvlJc w:val="left"/>
      <w:pPr>
        <w:ind w:left="3523" w:hanging="360"/>
      </w:pPr>
      <w:rPr>
        <w:rFonts w:hint="default"/>
        <w:lang w:val="en-US" w:eastAsia="en-US" w:bidi="ar-SA"/>
      </w:rPr>
    </w:lvl>
    <w:lvl w:ilvl="6" w:tplc="ADAE60FC">
      <w:numFmt w:val="bullet"/>
      <w:lvlText w:val="•"/>
      <w:lvlJc w:val="left"/>
      <w:pPr>
        <w:ind w:left="4136" w:hanging="360"/>
      </w:pPr>
      <w:rPr>
        <w:rFonts w:hint="default"/>
        <w:lang w:val="en-US" w:eastAsia="en-US" w:bidi="ar-SA"/>
      </w:rPr>
    </w:lvl>
    <w:lvl w:ilvl="7" w:tplc="223814BC">
      <w:numFmt w:val="bullet"/>
      <w:lvlText w:val="•"/>
      <w:lvlJc w:val="left"/>
      <w:pPr>
        <w:ind w:left="4750" w:hanging="360"/>
      </w:pPr>
      <w:rPr>
        <w:rFonts w:hint="default"/>
        <w:lang w:val="en-US" w:eastAsia="en-US" w:bidi="ar-SA"/>
      </w:rPr>
    </w:lvl>
    <w:lvl w:ilvl="8" w:tplc="D5A6CE92">
      <w:numFmt w:val="bullet"/>
      <w:lvlText w:val="•"/>
      <w:lvlJc w:val="left"/>
      <w:pPr>
        <w:ind w:left="5363" w:hanging="360"/>
      </w:pPr>
      <w:rPr>
        <w:rFonts w:hint="default"/>
        <w:lang w:val="en-US" w:eastAsia="en-US" w:bidi="ar-SA"/>
      </w:rPr>
    </w:lvl>
  </w:abstractNum>
  <w:abstractNum w:abstractNumId="13">
    <w:nsid w:val="4888601E"/>
    <w:multiLevelType w:val="hybridMultilevel"/>
    <w:tmpl w:val="4480729A"/>
    <w:lvl w:ilvl="0" w:tplc="E392F3FE">
      <w:start w:val="1"/>
      <w:numFmt w:val="decimalZero"/>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D7903D1E">
      <w:numFmt w:val="bullet"/>
      <w:lvlText w:val="•"/>
      <w:lvlJc w:val="left"/>
      <w:pPr>
        <w:ind w:left="1109" w:hanging="363"/>
      </w:pPr>
      <w:rPr>
        <w:rFonts w:hint="default"/>
        <w:lang w:val="en-US" w:eastAsia="en-US" w:bidi="ar-SA"/>
      </w:rPr>
    </w:lvl>
    <w:lvl w:ilvl="2" w:tplc="31840198">
      <w:numFmt w:val="bullet"/>
      <w:lvlText w:val="•"/>
      <w:lvlJc w:val="left"/>
      <w:pPr>
        <w:ind w:left="1759" w:hanging="363"/>
      </w:pPr>
      <w:rPr>
        <w:rFonts w:hint="default"/>
        <w:lang w:val="en-US" w:eastAsia="en-US" w:bidi="ar-SA"/>
      </w:rPr>
    </w:lvl>
    <w:lvl w:ilvl="3" w:tplc="A6BAA48C">
      <w:numFmt w:val="bullet"/>
      <w:lvlText w:val="•"/>
      <w:lvlJc w:val="left"/>
      <w:pPr>
        <w:ind w:left="2408" w:hanging="363"/>
      </w:pPr>
      <w:rPr>
        <w:rFonts w:hint="default"/>
        <w:lang w:val="en-US" w:eastAsia="en-US" w:bidi="ar-SA"/>
      </w:rPr>
    </w:lvl>
    <w:lvl w:ilvl="4" w:tplc="1EA88A52">
      <w:numFmt w:val="bullet"/>
      <w:lvlText w:val="•"/>
      <w:lvlJc w:val="left"/>
      <w:pPr>
        <w:ind w:left="3058" w:hanging="363"/>
      </w:pPr>
      <w:rPr>
        <w:rFonts w:hint="default"/>
        <w:lang w:val="en-US" w:eastAsia="en-US" w:bidi="ar-SA"/>
      </w:rPr>
    </w:lvl>
    <w:lvl w:ilvl="5" w:tplc="E4900A70">
      <w:numFmt w:val="bullet"/>
      <w:lvlText w:val="•"/>
      <w:lvlJc w:val="left"/>
      <w:pPr>
        <w:ind w:left="3708" w:hanging="363"/>
      </w:pPr>
      <w:rPr>
        <w:rFonts w:hint="default"/>
        <w:lang w:val="en-US" w:eastAsia="en-US" w:bidi="ar-SA"/>
      </w:rPr>
    </w:lvl>
    <w:lvl w:ilvl="6" w:tplc="AD5AC4D0">
      <w:numFmt w:val="bullet"/>
      <w:lvlText w:val="•"/>
      <w:lvlJc w:val="left"/>
      <w:pPr>
        <w:ind w:left="4357" w:hanging="363"/>
      </w:pPr>
      <w:rPr>
        <w:rFonts w:hint="default"/>
        <w:lang w:val="en-US" w:eastAsia="en-US" w:bidi="ar-SA"/>
      </w:rPr>
    </w:lvl>
    <w:lvl w:ilvl="7" w:tplc="F02A08AC">
      <w:numFmt w:val="bullet"/>
      <w:lvlText w:val="•"/>
      <w:lvlJc w:val="left"/>
      <w:pPr>
        <w:ind w:left="5007" w:hanging="363"/>
      </w:pPr>
      <w:rPr>
        <w:rFonts w:hint="default"/>
        <w:lang w:val="en-US" w:eastAsia="en-US" w:bidi="ar-SA"/>
      </w:rPr>
    </w:lvl>
    <w:lvl w:ilvl="8" w:tplc="1BBE9324">
      <w:numFmt w:val="bullet"/>
      <w:lvlText w:val="•"/>
      <w:lvlJc w:val="left"/>
      <w:pPr>
        <w:ind w:left="5656" w:hanging="363"/>
      </w:pPr>
      <w:rPr>
        <w:rFonts w:hint="default"/>
        <w:lang w:val="en-US" w:eastAsia="en-US" w:bidi="ar-SA"/>
      </w:rPr>
    </w:lvl>
  </w:abstractNum>
  <w:abstractNum w:abstractNumId="14">
    <w:nsid w:val="4E5A14F7"/>
    <w:multiLevelType w:val="hybridMultilevel"/>
    <w:tmpl w:val="388A7B6E"/>
    <w:lvl w:ilvl="0" w:tplc="4816DA76">
      <w:start w:val="5"/>
      <w:numFmt w:val="decimalZero"/>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59744206">
      <w:numFmt w:val="bullet"/>
      <w:lvlText w:val="•"/>
      <w:lvlJc w:val="left"/>
      <w:pPr>
        <w:ind w:left="1109" w:hanging="363"/>
      </w:pPr>
      <w:rPr>
        <w:rFonts w:hint="default"/>
        <w:lang w:val="en-US" w:eastAsia="en-US" w:bidi="ar-SA"/>
      </w:rPr>
    </w:lvl>
    <w:lvl w:ilvl="2" w:tplc="751414AA">
      <w:numFmt w:val="bullet"/>
      <w:lvlText w:val="•"/>
      <w:lvlJc w:val="left"/>
      <w:pPr>
        <w:ind w:left="1759" w:hanging="363"/>
      </w:pPr>
      <w:rPr>
        <w:rFonts w:hint="default"/>
        <w:lang w:val="en-US" w:eastAsia="en-US" w:bidi="ar-SA"/>
      </w:rPr>
    </w:lvl>
    <w:lvl w:ilvl="3" w:tplc="FE8CF262">
      <w:numFmt w:val="bullet"/>
      <w:lvlText w:val="•"/>
      <w:lvlJc w:val="left"/>
      <w:pPr>
        <w:ind w:left="2408" w:hanging="363"/>
      </w:pPr>
      <w:rPr>
        <w:rFonts w:hint="default"/>
        <w:lang w:val="en-US" w:eastAsia="en-US" w:bidi="ar-SA"/>
      </w:rPr>
    </w:lvl>
    <w:lvl w:ilvl="4" w:tplc="336AE082">
      <w:numFmt w:val="bullet"/>
      <w:lvlText w:val="•"/>
      <w:lvlJc w:val="left"/>
      <w:pPr>
        <w:ind w:left="3058" w:hanging="363"/>
      </w:pPr>
      <w:rPr>
        <w:rFonts w:hint="default"/>
        <w:lang w:val="en-US" w:eastAsia="en-US" w:bidi="ar-SA"/>
      </w:rPr>
    </w:lvl>
    <w:lvl w:ilvl="5" w:tplc="8650254C">
      <w:numFmt w:val="bullet"/>
      <w:lvlText w:val="•"/>
      <w:lvlJc w:val="left"/>
      <w:pPr>
        <w:ind w:left="3708" w:hanging="363"/>
      </w:pPr>
      <w:rPr>
        <w:rFonts w:hint="default"/>
        <w:lang w:val="en-US" w:eastAsia="en-US" w:bidi="ar-SA"/>
      </w:rPr>
    </w:lvl>
    <w:lvl w:ilvl="6" w:tplc="297E4AC2">
      <w:numFmt w:val="bullet"/>
      <w:lvlText w:val="•"/>
      <w:lvlJc w:val="left"/>
      <w:pPr>
        <w:ind w:left="4357" w:hanging="363"/>
      </w:pPr>
      <w:rPr>
        <w:rFonts w:hint="default"/>
        <w:lang w:val="en-US" w:eastAsia="en-US" w:bidi="ar-SA"/>
      </w:rPr>
    </w:lvl>
    <w:lvl w:ilvl="7" w:tplc="55DE7DA2">
      <w:numFmt w:val="bullet"/>
      <w:lvlText w:val="•"/>
      <w:lvlJc w:val="left"/>
      <w:pPr>
        <w:ind w:left="5007" w:hanging="363"/>
      </w:pPr>
      <w:rPr>
        <w:rFonts w:hint="default"/>
        <w:lang w:val="en-US" w:eastAsia="en-US" w:bidi="ar-SA"/>
      </w:rPr>
    </w:lvl>
    <w:lvl w:ilvl="8" w:tplc="3190AC24">
      <w:numFmt w:val="bullet"/>
      <w:lvlText w:val="•"/>
      <w:lvlJc w:val="left"/>
      <w:pPr>
        <w:ind w:left="5656" w:hanging="363"/>
      </w:pPr>
      <w:rPr>
        <w:rFonts w:hint="default"/>
        <w:lang w:val="en-US" w:eastAsia="en-US" w:bidi="ar-SA"/>
      </w:rPr>
    </w:lvl>
  </w:abstractNum>
  <w:abstractNum w:abstractNumId="15">
    <w:nsid w:val="5394229B"/>
    <w:multiLevelType w:val="hybridMultilevel"/>
    <w:tmpl w:val="17F2E706"/>
    <w:lvl w:ilvl="0" w:tplc="0B54F0BC">
      <w:numFmt w:val="bullet"/>
      <w:lvlText w:val=""/>
      <w:lvlJc w:val="left"/>
      <w:pPr>
        <w:ind w:left="541" w:hanging="44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6">
    <w:nsid w:val="600445D7"/>
    <w:multiLevelType w:val="hybridMultilevel"/>
    <w:tmpl w:val="F91C2F4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616654CC"/>
    <w:multiLevelType w:val="hybridMultilevel"/>
    <w:tmpl w:val="A5205D48"/>
    <w:lvl w:ilvl="0" w:tplc="01405A8A">
      <w:start w:val="10"/>
      <w:numFmt w:val="decimal"/>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C1FC8EAA">
      <w:numFmt w:val="bullet"/>
      <w:lvlText w:val="•"/>
      <w:lvlJc w:val="left"/>
      <w:pPr>
        <w:ind w:left="1109" w:hanging="363"/>
      </w:pPr>
      <w:rPr>
        <w:rFonts w:hint="default"/>
        <w:lang w:val="en-US" w:eastAsia="en-US" w:bidi="ar-SA"/>
      </w:rPr>
    </w:lvl>
    <w:lvl w:ilvl="2" w:tplc="B00A12CA">
      <w:numFmt w:val="bullet"/>
      <w:lvlText w:val="•"/>
      <w:lvlJc w:val="left"/>
      <w:pPr>
        <w:ind w:left="1759" w:hanging="363"/>
      </w:pPr>
      <w:rPr>
        <w:rFonts w:hint="default"/>
        <w:lang w:val="en-US" w:eastAsia="en-US" w:bidi="ar-SA"/>
      </w:rPr>
    </w:lvl>
    <w:lvl w:ilvl="3" w:tplc="2E5037DA">
      <w:numFmt w:val="bullet"/>
      <w:lvlText w:val="•"/>
      <w:lvlJc w:val="left"/>
      <w:pPr>
        <w:ind w:left="2408" w:hanging="363"/>
      </w:pPr>
      <w:rPr>
        <w:rFonts w:hint="default"/>
        <w:lang w:val="en-US" w:eastAsia="en-US" w:bidi="ar-SA"/>
      </w:rPr>
    </w:lvl>
    <w:lvl w:ilvl="4" w:tplc="22940EF4">
      <w:numFmt w:val="bullet"/>
      <w:lvlText w:val="•"/>
      <w:lvlJc w:val="left"/>
      <w:pPr>
        <w:ind w:left="3058" w:hanging="363"/>
      </w:pPr>
      <w:rPr>
        <w:rFonts w:hint="default"/>
        <w:lang w:val="en-US" w:eastAsia="en-US" w:bidi="ar-SA"/>
      </w:rPr>
    </w:lvl>
    <w:lvl w:ilvl="5" w:tplc="0B88B966">
      <w:numFmt w:val="bullet"/>
      <w:lvlText w:val="•"/>
      <w:lvlJc w:val="left"/>
      <w:pPr>
        <w:ind w:left="3708" w:hanging="363"/>
      </w:pPr>
      <w:rPr>
        <w:rFonts w:hint="default"/>
        <w:lang w:val="en-US" w:eastAsia="en-US" w:bidi="ar-SA"/>
      </w:rPr>
    </w:lvl>
    <w:lvl w:ilvl="6" w:tplc="24B21FE4">
      <w:numFmt w:val="bullet"/>
      <w:lvlText w:val="•"/>
      <w:lvlJc w:val="left"/>
      <w:pPr>
        <w:ind w:left="4357" w:hanging="363"/>
      </w:pPr>
      <w:rPr>
        <w:rFonts w:hint="default"/>
        <w:lang w:val="en-US" w:eastAsia="en-US" w:bidi="ar-SA"/>
      </w:rPr>
    </w:lvl>
    <w:lvl w:ilvl="7" w:tplc="F85210B8">
      <w:numFmt w:val="bullet"/>
      <w:lvlText w:val="•"/>
      <w:lvlJc w:val="left"/>
      <w:pPr>
        <w:ind w:left="5007" w:hanging="363"/>
      </w:pPr>
      <w:rPr>
        <w:rFonts w:hint="default"/>
        <w:lang w:val="en-US" w:eastAsia="en-US" w:bidi="ar-SA"/>
      </w:rPr>
    </w:lvl>
    <w:lvl w:ilvl="8" w:tplc="D7B84092">
      <w:numFmt w:val="bullet"/>
      <w:lvlText w:val="•"/>
      <w:lvlJc w:val="left"/>
      <w:pPr>
        <w:ind w:left="5656" w:hanging="363"/>
      </w:pPr>
      <w:rPr>
        <w:rFonts w:hint="default"/>
        <w:lang w:val="en-US" w:eastAsia="en-US" w:bidi="ar-SA"/>
      </w:rPr>
    </w:lvl>
  </w:abstractNum>
  <w:abstractNum w:abstractNumId="18">
    <w:nsid w:val="620D5CDE"/>
    <w:multiLevelType w:val="hybridMultilevel"/>
    <w:tmpl w:val="F3BAB762"/>
    <w:lvl w:ilvl="0" w:tplc="C15438E0">
      <w:start w:val="10"/>
      <w:numFmt w:val="decimal"/>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56B25C14">
      <w:numFmt w:val="bullet"/>
      <w:lvlText w:val="•"/>
      <w:lvlJc w:val="left"/>
      <w:pPr>
        <w:ind w:left="1055" w:hanging="303"/>
      </w:pPr>
      <w:rPr>
        <w:rFonts w:hint="default"/>
        <w:lang w:val="en-US" w:eastAsia="en-US" w:bidi="ar-SA"/>
      </w:rPr>
    </w:lvl>
    <w:lvl w:ilvl="2" w:tplc="D6947138">
      <w:numFmt w:val="bullet"/>
      <w:lvlText w:val="•"/>
      <w:lvlJc w:val="left"/>
      <w:pPr>
        <w:ind w:left="1711" w:hanging="303"/>
      </w:pPr>
      <w:rPr>
        <w:rFonts w:hint="default"/>
        <w:lang w:val="en-US" w:eastAsia="en-US" w:bidi="ar-SA"/>
      </w:rPr>
    </w:lvl>
    <w:lvl w:ilvl="3" w:tplc="D3727DB0">
      <w:numFmt w:val="bullet"/>
      <w:lvlText w:val="•"/>
      <w:lvlJc w:val="left"/>
      <w:pPr>
        <w:ind w:left="2366" w:hanging="303"/>
      </w:pPr>
      <w:rPr>
        <w:rFonts w:hint="default"/>
        <w:lang w:val="en-US" w:eastAsia="en-US" w:bidi="ar-SA"/>
      </w:rPr>
    </w:lvl>
    <w:lvl w:ilvl="4" w:tplc="32EE65D8">
      <w:numFmt w:val="bullet"/>
      <w:lvlText w:val="•"/>
      <w:lvlJc w:val="left"/>
      <w:pPr>
        <w:ind w:left="3022" w:hanging="303"/>
      </w:pPr>
      <w:rPr>
        <w:rFonts w:hint="default"/>
        <w:lang w:val="en-US" w:eastAsia="en-US" w:bidi="ar-SA"/>
      </w:rPr>
    </w:lvl>
    <w:lvl w:ilvl="5" w:tplc="A558BB1C">
      <w:numFmt w:val="bullet"/>
      <w:lvlText w:val="•"/>
      <w:lvlJc w:val="left"/>
      <w:pPr>
        <w:ind w:left="3678" w:hanging="303"/>
      </w:pPr>
      <w:rPr>
        <w:rFonts w:hint="default"/>
        <w:lang w:val="en-US" w:eastAsia="en-US" w:bidi="ar-SA"/>
      </w:rPr>
    </w:lvl>
    <w:lvl w:ilvl="6" w:tplc="9B3A768C">
      <w:numFmt w:val="bullet"/>
      <w:lvlText w:val="•"/>
      <w:lvlJc w:val="left"/>
      <w:pPr>
        <w:ind w:left="4333" w:hanging="303"/>
      </w:pPr>
      <w:rPr>
        <w:rFonts w:hint="default"/>
        <w:lang w:val="en-US" w:eastAsia="en-US" w:bidi="ar-SA"/>
      </w:rPr>
    </w:lvl>
    <w:lvl w:ilvl="7" w:tplc="453A49EC">
      <w:numFmt w:val="bullet"/>
      <w:lvlText w:val="•"/>
      <w:lvlJc w:val="left"/>
      <w:pPr>
        <w:ind w:left="4989" w:hanging="303"/>
      </w:pPr>
      <w:rPr>
        <w:rFonts w:hint="default"/>
        <w:lang w:val="en-US" w:eastAsia="en-US" w:bidi="ar-SA"/>
      </w:rPr>
    </w:lvl>
    <w:lvl w:ilvl="8" w:tplc="6658A82C">
      <w:numFmt w:val="bullet"/>
      <w:lvlText w:val="•"/>
      <w:lvlJc w:val="left"/>
      <w:pPr>
        <w:ind w:left="5644" w:hanging="303"/>
      </w:pPr>
      <w:rPr>
        <w:rFonts w:hint="default"/>
        <w:lang w:val="en-US" w:eastAsia="en-US" w:bidi="ar-SA"/>
      </w:rPr>
    </w:lvl>
  </w:abstractNum>
  <w:abstractNum w:abstractNumId="19">
    <w:nsid w:val="66811E1A"/>
    <w:multiLevelType w:val="hybridMultilevel"/>
    <w:tmpl w:val="0B30A47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0">
    <w:nsid w:val="6902476B"/>
    <w:multiLevelType w:val="hybridMultilevel"/>
    <w:tmpl w:val="20F2509C"/>
    <w:lvl w:ilvl="0" w:tplc="DB641B7C">
      <w:start w:val="10"/>
      <w:numFmt w:val="decimal"/>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CABE9538">
      <w:numFmt w:val="bullet"/>
      <w:lvlText w:val="•"/>
      <w:lvlJc w:val="left"/>
      <w:pPr>
        <w:ind w:left="1055" w:hanging="303"/>
      </w:pPr>
      <w:rPr>
        <w:rFonts w:hint="default"/>
        <w:lang w:val="en-US" w:eastAsia="en-US" w:bidi="ar-SA"/>
      </w:rPr>
    </w:lvl>
    <w:lvl w:ilvl="2" w:tplc="178A5546">
      <w:numFmt w:val="bullet"/>
      <w:lvlText w:val="•"/>
      <w:lvlJc w:val="left"/>
      <w:pPr>
        <w:ind w:left="1711" w:hanging="303"/>
      </w:pPr>
      <w:rPr>
        <w:rFonts w:hint="default"/>
        <w:lang w:val="en-US" w:eastAsia="en-US" w:bidi="ar-SA"/>
      </w:rPr>
    </w:lvl>
    <w:lvl w:ilvl="3" w:tplc="E7B480D4">
      <w:numFmt w:val="bullet"/>
      <w:lvlText w:val="•"/>
      <w:lvlJc w:val="left"/>
      <w:pPr>
        <w:ind w:left="2366" w:hanging="303"/>
      </w:pPr>
      <w:rPr>
        <w:rFonts w:hint="default"/>
        <w:lang w:val="en-US" w:eastAsia="en-US" w:bidi="ar-SA"/>
      </w:rPr>
    </w:lvl>
    <w:lvl w:ilvl="4" w:tplc="D09ED386">
      <w:numFmt w:val="bullet"/>
      <w:lvlText w:val="•"/>
      <w:lvlJc w:val="left"/>
      <w:pPr>
        <w:ind w:left="3022" w:hanging="303"/>
      </w:pPr>
      <w:rPr>
        <w:rFonts w:hint="default"/>
        <w:lang w:val="en-US" w:eastAsia="en-US" w:bidi="ar-SA"/>
      </w:rPr>
    </w:lvl>
    <w:lvl w:ilvl="5" w:tplc="712041B8">
      <w:numFmt w:val="bullet"/>
      <w:lvlText w:val="•"/>
      <w:lvlJc w:val="left"/>
      <w:pPr>
        <w:ind w:left="3678" w:hanging="303"/>
      </w:pPr>
      <w:rPr>
        <w:rFonts w:hint="default"/>
        <w:lang w:val="en-US" w:eastAsia="en-US" w:bidi="ar-SA"/>
      </w:rPr>
    </w:lvl>
    <w:lvl w:ilvl="6" w:tplc="B20C08DC">
      <w:numFmt w:val="bullet"/>
      <w:lvlText w:val="•"/>
      <w:lvlJc w:val="left"/>
      <w:pPr>
        <w:ind w:left="4333" w:hanging="303"/>
      </w:pPr>
      <w:rPr>
        <w:rFonts w:hint="default"/>
        <w:lang w:val="en-US" w:eastAsia="en-US" w:bidi="ar-SA"/>
      </w:rPr>
    </w:lvl>
    <w:lvl w:ilvl="7" w:tplc="451E05D0">
      <w:numFmt w:val="bullet"/>
      <w:lvlText w:val="•"/>
      <w:lvlJc w:val="left"/>
      <w:pPr>
        <w:ind w:left="4989" w:hanging="303"/>
      </w:pPr>
      <w:rPr>
        <w:rFonts w:hint="default"/>
        <w:lang w:val="en-US" w:eastAsia="en-US" w:bidi="ar-SA"/>
      </w:rPr>
    </w:lvl>
    <w:lvl w:ilvl="8" w:tplc="62CEF9BC">
      <w:numFmt w:val="bullet"/>
      <w:lvlText w:val="•"/>
      <w:lvlJc w:val="left"/>
      <w:pPr>
        <w:ind w:left="5644" w:hanging="303"/>
      </w:pPr>
      <w:rPr>
        <w:rFonts w:hint="default"/>
        <w:lang w:val="en-US" w:eastAsia="en-US" w:bidi="ar-SA"/>
      </w:rPr>
    </w:lvl>
  </w:abstractNum>
  <w:abstractNum w:abstractNumId="21">
    <w:nsid w:val="78150031"/>
    <w:multiLevelType w:val="hybridMultilevel"/>
    <w:tmpl w:val="0894578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13"/>
  </w:num>
  <w:num w:numId="2">
    <w:abstractNumId w:val="17"/>
  </w:num>
  <w:num w:numId="3">
    <w:abstractNumId w:val="14"/>
  </w:num>
  <w:num w:numId="4">
    <w:abstractNumId w:val="4"/>
  </w:num>
  <w:num w:numId="5">
    <w:abstractNumId w:val="6"/>
  </w:num>
  <w:num w:numId="6">
    <w:abstractNumId w:val="12"/>
  </w:num>
  <w:num w:numId="7">
    <w:abstractNumId w:val="10"/>
  </w:num>
  <w:num w:numId="8">
    <w:abstractNumId w:val="1"/>
  </w:num>
  <w:num w:numId="9">
    <w:abstractNumId w:val="3"/>
  </w:num>
  <w:num w:numId="10">
    <w:abstractNumId w:val="5"/>
  </w:num>
  <w:num w:numId="11">
    <w:abstractNumId w:val="20"/>
  </w:num>
  <w:num w:numId="12">
    <w:abstractNumId w:val="11"/>
  </w:num>
  <w:num w:numId="13">
    <w:abstractNumId w:val="18"/>
  </w:num>
  <w:num w:numId="14">
    <w:abstractNumId w:val="8"/>
  </w:num>
  <w:num w:numId="15">
    <w:abstractNumId w:val="15"/>
  </w:num>
  <w:num w:numId="16">
    <w:abstractNumId w:val="2"/>
  </w:num>
  <w:num w:numId="17">
    <w:abstractNumId w:val="7"/>
  </w:num>
  <w:num w:numId="18">
    <w:abstractNumId w:val="0"/>
  </w:num>
  <w:num w:numId="19">
    <w:abstractNumId w:val="16"/>
  </w:num>
  <w:num w:numId="20">
    <w:abstractNumId w:val="9"/>
  </w:num>
  <w:num w:numId="21">
    <w:abstractNumId w:val="19"/>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B5"/>
    <w:rsid w:val="000027D4"/>
    <w:rsid w:val="00006B5A"/>
    <w:rsid w:val="0001625B"/>
    <w:rsid w:val="00016B46"/>
    <w:rsid w:val="00021AFD"/>
    <w:rsid w:val="000309B4"/>
    <w:rsid w:val="00042ABD"/>
    <w:rsid w:val="00042B12"/>
    <w:rsid w:val="00050710"/>
    <w:rsid w:val="00062B29"/>
    <w:rsid w:val="00065D78"/>
    <w:rsid w:val="000758A2"/>
    <w:rsid w:val="000915DC"/>
    <w:rsid w:val="00097764"/>
    <w:rsid w:val="000A12E8"/>
    <w:rsid w:val="000B04A6"/>
    <w:rsid w:val="000D0E8D"/>
    <w:rsid w:val="00106606"/>
    <w:rsid w:val="0011435B"/>
    <w:rsid w:val="00124429"/>
    <w:rsid w:val="00131AB9"/>
    <w:rsid w:val="00137926"/>
    <w:rsid w:val="00140D8B"/>
    <w:rsid w:val="00182942"/>
    <w:rsid w:val="0018721A"/>
    <w:rsid w:val="001873DA"/>
    <w:rsid w:val="0019172F"/>
    <w:rsid w:val="001A01FB"/>
    <w:rsid w:val="001A1082"/>
    <w:rsid w:val="001A24A8"/>
    <w:rsid w:val="001C1243"/>
    <w:rsid w:val="001C5330"/>
    <w:rsid w:val="001D50BC"/>
    <w:rsid w:val="001E1D6C"/>
    <w:rsid w:val="00204B7B"/>
    <w:rsid w:val="00210386"/>
    <w:rsid w:val="00220742"/>
    <w:rsid w:val="002238D2"/>
    <w:rsid w:val="0023168A"/>
    <w:rsid w:val="00232A2E"/>
    <w:rsid w:val="002400B2"/>
    <w:rsid w:val="00241170"/>
    <w:rsid w:val="002531AE"/>
    <w:rsid w:val="00261794"/>
    <w:rsid w:val="00282F91"/>
    <w:rsid w:val="00285B98"/>
    <w:rsid w:val="002D77C0"/>
    <w:rsid w:val="002E3102"/>
    <w:rsid w:val="002E7897"/>
    <w:rsid w:val="003118D1"/>
    <w:rsid w:val="00321B03"/>
    <w:rsid w:val="00325E07"/>
    <w:rsid w:val="003764B1"/>
    <w:rsid w:val="003B0BBB"/>
    <w:rsid w:val="003B1068"/>
    <w:rsid w:val="003C1BDB"/>
    <w:rsid w:val="003D0DCC"/>
    <w:rsid w:val="003D6BED"/>
    <w:rsid w:val="003F4BE7"/>
    <w:rsid w:val="003F6B44"/>
    <w:rsid w:val="00406BEE"/>
    <w:rsid w:val="00410953"/>
    <w:rsid w:val="004139B6"/>
    <w:rsid w:val="004240AB"/>
    <w:rsid w:val="00451C4E"/>
    <w:rsid w:val="00451E87"/>
    <w:rsid w:val="004554E3"/>
    <w:rsid w:val="00491D39"/>
    <w:rsid w:val="004C16B2"/>
    <w:rsid w:val="004F051E"/>
    <w:rsid w:val="004F7E95"/>
    <w:rsid w:val="005526DB"/>
    <w:rsid w:val="00552A40"/>
    <w:rsid w:val="00557EF9"/>
    <w:rsid w:val="00567A6E"/>
    <w:rsid w:val="00570E2A"/>
    <w:rsid w:val="00572B56"/>
    <w:rsid w:val="0057725C"/>
    <w:rsid w:val="005A065F"/>
    <w:rsid w:val="005D2C9C"/>
    <w:rsid w:val="0061375F"/>
    <w:rsid w:val="00623A45"/>
    <w:rsid w:val="006276F6"/>
    <w:rsid w:val="00627B30"/>
    <w:rsid w:val="006319BC"/>
    <w:rsid w:val="00632EEC"/>
    <w:rsid w:val="00662F9B"/>
    <w:rsid w:val="00672468"/>
    <w:rsid w:val="00677A7E"/>
    <w:rsid w:val="006A1E8C"/>
    <w:rsid w:val="006B0143"/>
    <w:rsid w:val="006B0B90"/>
    <w:rsid w:val="006F0923"/>
    <w:rsid w:val="0073680E"/>
    <w:rsid w:val="0073791E"/>
    <w:rsid w:val="007755E1"/>
    <w:rsid w:val="007A2AE4"/>
    <w:rsid w:val="007B089C"/>
    <w:rsid w:val="007B516D"/>
    <w:rsid w:val="007B5824"/>
    <w:rsid w:val="007D6E70"/>
    <w:rsid w:val="007F1125"/>
    <w:rsid w:val="007F65F7"/>
    <w:rsid w:val="0080437B"/>
    <w:rsid w:val="0080721B"/>
    <w:rsid w:val="008223C8"/>
    <w:rsid w:val="008231EB"/>
    <w:rsid w:val="00841685"/>
    <w:rsid w:val="00844BD2"/>
    <w:rsid w:val="00851B53"/>
    <w:rsid w:val="00860213"/>
    <w:rsid w:val="00881A6D"/>
    <w:rsid w:val="0088769A"/>
    <w:rsid w:val="008C3F18"/>
    <w:rsid w:val="008C4934"/>
    <w:rsid w:val="008C684F"/>
    <w:rsid w:val="008C6D07"/>
    <w:rsid w:val="008D2FEA"/>
    <w:rsid w:val="008E3AC0"/>
    <w:rsid w:val="008F267A"/>
    <w:rsid w:val="00911357"/>
    <w:rsid w:val="00936AC4"/>
    <w:rsid w:val="009845FB"/>
    <w:rsid w:val="009B1439"/>
    <w:rsid w:val="009C1FB7"/>
    <w:rsid w:val="009C64B3"/>
    <w:rsid w:val="00A0153F"/>
    <w:rsid w:val="00A048FE"/>
    <w:rsid w:val="00A06466"/>
    <w:rsid w:val="00A21B10"/>
    <w:rsid w:val="00A379B9"/>
    <w:rsid w:val="00A5575E"/>
    <w:rsid w:val="00A624CE"/>
    <w:rsid w:val="00A63128"/>
    <w:rsid w:val="00A71C27"/>
    <w:rsid w:val="00A8000D"/>
    <w:rsid w:val="00A933CB"/>
    <w:rsid w:val="00A97294"/>
    <w:rsid w:val="00AA3629"/>
    <w:rsid w:val="00AB6F93"/>
    <w:rsid w:val="00AC0CE2"/>
    <w:rsid w:val="00AD516C"/>
    <w:rsid w:val="00B34272"/>
    <w:rsid w:val="00B4256D"/>
    <w:rsid w:val="00B566C8"/>
    <w:rsid w:val="00B7551C"/>
    <w:rsid w:val="00B773E4"/>
    <w:rsid w:val="00B8130D"/>
    <w:rsid w:val="00B96258"/>
    <w:rsid w:val="00BA28B5"/>
    <w:rsid w:val="00BB5522"/>
    <w:rsid w:val="00BB68BA"/>
    <w:rsid w:val="00BE67A0"/>
    <w:rsid w:val="00BF3906"/>
    <w:rsid w:val="00BF6E21"/>
    <w:rsid w:val="00C041F6"/>
    <w:rsid w:val="00C13B8B"/>
    <w:rsid w:val="00C32887"/>
    <w:rsid w:val="00C36E2F"/>
    <w:rsid w:val="00C41DD5"/>
    <w:rsid w:val="00C46BC9"/>
    <w:rsid w:val="00C50397"/>
    <w:rsid w:val="00C50EA3"/>
    <w:rsid w:val="00C52396"/>
    <w:rsid w:val="00C53425"/>
    <w:rsid w:val="00C604A0"/>
    <w:rsid w:val="00C8029A"/>
    <w:rsid w:val="00C928A9"/>
    <w:rsid w:val="00C942CF"/>
    <w:rsid w:val="00C9498F"/>
    <w:rsid w:val="00C97B7B"/>
    <w:rsid w:val="00CA37E2"/>
    <w:rsid w:val="00CD3D9E"/>
    <w:rsid w:val="00CE4549"/>
    <w:rsid w:val="00CE4F71"/>
    <w:rsid w:val="00D01F38"/>
    <w:rsid w:val="00D34E91"/>
    <w:rsid w:val="00D445B2"/>
    <w:rsid w:val="00D51601"/>
    <w:rsid w:val="00D60210"/>
    <w:rsid w:val="00D66F1C"/>
    <w:rsid w:val="00D7111E"/>
    <w:rsid w:val="00D74B26"/>
    <w:rsid w:val="00DA4DD0"/>
    <w:rsid w:val="00DB4B6E"/>
    <w:rsid w:val="00DE3AA1"/>
    <w:rsid w:val="00DF01A9"/>
    <w:rsid w:val="00E06220"/>
    <w:rsid w:val="00E20C0A"/>
    <w:rsid w:val="00E22B1D"/>
    <w:rsid w:val="00E43660"/>
    <w:rsid w:val="00E83E95"/>
    <w:rsid w:val="00E9764A"/>
    <w:rsid w:val="00EB11DA"/>
    <w:rsid w:val="00EB7EDF"/>
    <w:rsid w:val="00EC441B"/>
    <w:rsid w:val="00EE0422"/>
    <w:rsid w:val="00EE3CE1"/>
    <w:rsid w:val="00F07F74"/>
    <w:rsid w:val="00F13AA3"/>
    <w:rsid w:val="00F144D0"/>
    <w:rsid w:val="00F369B8"/>
    <w:rsid w:val="00F7172A"/>
    <w:rsid w:val="00F762AA"/>
    <w:rsid w:val="00F82AE5"/>
    <w:rsid w:val="00F92CD5"/>
    <w:rsid w:val="00FA0222"/>
    <w:rsid w:val="00FA1E73"/>
    <w:rsid w:val="00FA25EE"/>
    <w:rsid w:val="00FB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34"/>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customStyle="1" w:styleId="TableParagraph">
    <w:name w:val="Table Paragraph"/>
    <w:basedOn w:val="Normal"/>
    <w:uiPriority w:val="1"/>
    <w:qFormat/>
    <w:rsid w:val="00CD3D9E"/>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A1082"/>
    <w:rPr>
      <w:color w:val="605E5C"/>
      <w:shd w:val="clear" w:color="auto" w:fill="E1DFDD"/>
    </w:rPr>
  </w:style>
  <w:style w:type="paragraph" w:styleId="NoSpacing">
    <w:name w:val="No Spacing"/>
    <w:uiPriority w:val="1"/>
    <w:qFormat/>
    <w:rsid w:val="00C942C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34"/>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customStyle="1" w:styleId="TableParagraph">
    <w:name w:val="Table Paragraph"/>
    <w:basedOn w:val="Normal"/>
    <w:uiPriority w:val="1"/>
    <w:qFormat/>
    <w:rsid w:val="00CD3D9E"/>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A1082"/>
    <w:rPr>
      <w:color w:val="605E5C"/>
      <w:shd w:val="clear" w:color="auto" w:fill="E1DFDD"/>
    </w:rPr>
  </w:style>
  <w:style w:type="paragraph" w:styleId="NoSpacing">
    <w:name w:val="No Spacing"/>
    <w:uiPriority w:val="1"/>
    <w:qFormat/>
    <w:rsid w:val="00C942C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82374">
      <w:bodyDiv w:val="1"/>
      <w:marLeft w:val="0"/>
      <w:marRight w:val="0"/>
      <w:marTop w:val="0"/>
      <w:marBottom w:val="0"/>
      <w:divBdr>
        <w:top w:val="none" w:sz="0" w:space="0" w:color="auto"/>
        <w:left w:val="none" w:sz="0" w:space="0" w:color="auto"/>
        <w:bottom w:val="none" w:sz="0" w:space="0" w:color="auto"/>
        <w:right w:val="none" w:sz="0" w:space="0" w:color="auto"/>
      </w:divBdr>
    </w:div>
    <w:div w:id="1132790683">
      <w:bodyDiv w:val="1"/>
      <w:marLeft w:val="0"/>
      <w:marRight w:val="0"/>
      <w:marTop w:val="0"/>
      <w:marBottom w:val="0"/>
      <w:divBdr>
        <w:top w:val="none" w:sz="0" w:space="0" w:color="auto"/>
        <w:left w:val="none" w:sz="0" w:space="0" w:color="auto"/>
        <w:bottom w:val="none" w:sz="0" w:space="0" w:color="auto"/>
        <w:right w:val="none" w:sz="0" w:space="0" w:color="auto"/>
      </w:divBdr>
    </w:div>
    <w:div w:id="1247374013">
      <w:bodyDiv w:val="1"/>
      <w:marLeft w:val="0"/>
      <w:marRight w:val="0"/>
      <w:marTop w:val="0"/>
      <w:marBottom w:val="0"/>
      <w:divBdr>
        <w:top w:val="none" w:sz="0" w:space="0" w:color="auto"/>
        <w:left w:val="none" w:sz="0" w:space="0" w:color="auto"/>
        <w:bottom w:val="none" w:sz="0" w:space="0" w:color="auto"/>
        <w:right w:val="none" w:sz="0" w:space="0" w:color="auto"/>
      </w:divBdr>
    </w:div>
    <w:div w:id="1368989727">
      <w:bodyDiv w:val="1"/>
      <w:marLeft w:val="0"/>
      <w:marRight w:val="0"/>
      <w:marTop w:val="0"/>
      <w:marBottom w:val="0"/>
      <w:divBdr>
        <w:top w:val="none" w:sz="0" w:space="0" w:color="auto"/>
        <w:left w:val="none" w:sz="0" w:space="0" w:color="auto"/>
        <w:bottom w:val="none" w:sz="0" w:space="0" w:color="auto"/>
        <w:right w:val="none" w:sz="0" w:space="0" w:color="auto"/>
      </w:divBdr>
    </w:div>
    <w:div w:id="1375037442">
      <w:bodyDiv w:val="1"/>
      <w:marLeft w:val="0"/>
      <w:marRight w:val="0"/>
      <w:marTop w:val="0"/>
      <w:marBottom w:val="0"/>
      <w:divBdr>
        <w:top w:val="none" w:sz="0" w:space="0" w:color="auto"/>
        <w:left w:val="none" w:sz="0" w:space="0" w:color="auto"/>
        <w:bottom w:val="none" w:sz="0" w:space="0" w:color="auto"/>
        <w:right w:val="none" w:sz="0" w:space="0" w:color="auto"/>
      </w:divBdr>
    </w:div>
    <w:div w:id="1460606524">
      <w:bodyDiv w:val="1"/>
      <w:marLeft w:val="0"/>
      <w:marRight w:val="0"/>
      <w:marTop w:val="0"/>
      <w:marBottom w:val="0"/>
      <w:divBdr>
        <w:top w:val="none" w:sz="0" w:space="0" w:color="auto"/>
        <w:left w:val="none" w:sz="0" w:space="0" w:color="auto"/>
        <w:bottom w:val="none" w:sz="0" w:space="0" w:color="auto"/>
        <w:right w:val="none" w:sz="0" w:space="0" w:color="auto"/>
      </w:divBdr>
    </w:div>
    <w:div w:id="1494762489">
      <w:bodyDiv w:val="1"/>
      <w:marLeft w:val="0"/>
      <w:marRight w:val="0"/>
      <w:marTop w:val="0"/>
      <w:marBottom w:val="0"/>
      <w:divBdr>
        <w:top w:val="none" w:sz="0" w:space="0" w:color="auto"/>
        <w:left w:val="none" w:sz="0" w:space="0" w:color="auto"/>
        <w:bottom w:val="none" w:sz="0" w:space="0" w:color="auto"/>
        <w:right w:val="none" w:sz="0" w:space="0" w:color="auto"/>
      </w:divBdr>
    </w:div>
    <w:div w:id="1574044404">
      <w:bodyDiv w:val="1"/>
      <w:marLeft w:val="0"/>
      <w:marRight w:val="0"/>
      <w:marTop w:val="0"/>
      <w:marBottom w:val="0"/>
      <w:divBdr>
        <w:top w:val="none" w:sz="0" w:space="0" w:color="auto"/>
        <w:left w:val="none" w:sz="0" w:space="0" w:color="auto"/>
        <w:bottom w:val="none" w:sz="0" w:space="0" w:color="auto"/>
        <w:right w:val="none" w:sz="0" w:space="0" w:color="auto"/>
      </w:divBdr>
    </w:div>
    <w:div w:id="1670253763">
      <w:bodyDiv w:val="1"/>
      <w:marLeft w:val="0"/>
      <w:marRight w:val="0"/>
      <w:marTop w:val="0"/>
      <w:marBottom w:val="0"/>
      <w:divBdr>
        <w:top w:val="none" w:sz="0" w:space="0" w:color="auto"/>
        <w:left w:val="none" w:sz="0" w:space="0" w:color="auto"/>
        <w:bottom w:val="none" w:sz="0" w:space="0" w:color="auto"/>
        <w:right w:val="none" w:sz="0" w:space="0" w:color="auto"/>
      </w:divBdr>
    </w:div>
    <w:div w:id="1745030862">
      <w:bodyDiv w:val="1"/>
      <w:marLeft w:val="0"/>
      <w:marRight w:val="0"/>
      <w:marTop w:val="0"/>
      <w:marBottom w:val="0"/>
      <w:divBdr>
        <w:top w:val="none" w:sz="0" w:space="0" w:color="auto"/>
        <w:left w:val="none" w:sz="0" w:space="0" w:color="auto"/>
        <w:bottom w:val="none" w:sz="0" w:space="0" w:color="auto"/>
        <w:right w:val="none" w:sz="0" w:space="0" w:color="auto"/>
      </w:divBdr>
    </w:div>
    <w:div w:id="1793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en/publications/calendar/" TargetMode="External"/><Relationship Id="rId18" Type="http://schemas.openxmlformats.org/officeDocument/2006/relationships/hyperlink" Target="http://databaza.instat.gov.al/pxweb/en/D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stat.gov.al/en/documentation/quality-in-statistics/user-satisfaction-survey/" TargetMode="External"/><Relationship Id="rId7" Type="http://schemas.openxmlformats.org/officeDocument/2006/relationships/footnotes" Target="footnotes.xml"/><Relationship Id="rId12" Type="http://schemas.openxmlformats.org/officeDocument/2006/relationships/hyperlink" Target="http://ec.europa.eu/eurostat/web/hicp/legislation" TargetMode="External"/><Relationship Id="rId17" Type="http://schemas.openxmlformats.org/officeDocument/2006/relationships/hyperlink" Target="http://www.instat.gov.al/en/publications/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at.gov.al/en/themes/prices/" TargetMode="External"/><Relationship Id="rId20" Type="http://schemas.openxmlformats.org/officeDocument/2006/relationships/hyperlink" Target="http://www.instat.gov.al/en/themes/prices/consumer-price-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705/psz-2017-2021_english.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nstat.gov.al/en/about-us/data-request/" TargetMode="External"/><Relationship Id="rId23" Type="http://schemas.openxmlformats.org/officeDocument/2006/relationships/hyperlink" Target="http://www.instat.gov.al/media/2939/the_errors_treatment_policy.pdf" TargetMode="External"/><Relationship Id="rId10" Type="http://schemas.openxmlformats.org/officeDocument/2006/relationships/hyperlink" Target="http://www.instat.gov.al/media/3972/law-no17-2018-on-official-statistics.pdf" TargetMode="External"/><Relationship Id="rId19" Type="http://schemas.openxmlformats.org/officeDocument/2006/relationships/hyperlink" Target="http://www.instat.gov.al/en/about-us/data-request/" TargetMode="External"/><Relationship Id="rId4" Type="http://schemas.microsoft.com/office/2007/relationships/stylesWithEffects" Target="stylesWithEffects.xml"/><Relationship Id="rId9" Type="http://schemas.openxmlformats.org/officeDocument/2006/relationships/hyperlink" Target="mailto:hbunguri@instat.gov.al" TargetMode="External"/><Relationship Id="rId14" Type="http://schemas.openxmlformats.org/officeDocument/2006/relationships/hyperlink" Target="mailto:info@instat.gov.al" TargetMode="External"/><Relationship Id="rId22" Type="http://schemas.openxmlformats.org/officeDocument/2006/relationships/hyperlink" Target="http://www.instat.gov.al/media/2940/revision_polic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BDD5-7913-4959-9D99-8E368F5B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Elona Berberi</cp:lastModifiedBy>
  <cp:revision>5</cp:revision>
  <dcterms:created xsi:type="dcterms:W3CDTF">2021-02-26T09:30:00Z</dcterms:created>
  <dcterms:modified xsi:type="dcterms:W3CDTF">2021-03-17T08:05:00Z</dcterms:modified>
</cp:coreProperties>
</file>