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A6" w:rsidRDefault="005A3CA6"/>
    <w:p w:rsidR="00B3323E" w:rsidRDefault="00B3323E"/>
    <w:tbl>
      <w:tblPr>
        <w:tblStyle w:val="TableGrid"/>
        <w:tblpPr w:leftFromText="180" w:rightFromText="180" w:vertAnchor="text" w:horzAnchor="margin" w:tblpXSpec="center" w:tblpY="169"/>
        <w:tblW w:w="0" w:type="auto"/>
        <w:shd w:val="clear" w:color="auto" w:fill="FBD4B4" w:themeFill="accent6" w:themeFillTint="66"/>
        <w:tblLook w:val="04A0" w:firstRow="1" w:lastRow="0" w:firstColumn="1" w:lastColumn="0" w:noHBand="0" w:noVBand="1"/>
      </w:tblPr>
      <w:tblGrid>
        <w:gridCol w:w="8351"/>
      </w:tblGrid>
      <w:tr w:rsidR="00B3323E" w:rsidTr="00B3323E">
        <w:trPr>
          <w:trHeight w:val="2663"/>
        </w:trPr>
        <w:tc>
          <w:tcPr>
            <w:tcW w:w="8351" w:type="dxa"/>
            <w:shd w:val="clear" w:color="auto" w:fill="FBD4B4" w:themeFill="accent6" w:themeFillTint="66"/>
          </w:tcPr>
          <w:p w:rsidR="00B3323E" w:rsidRPr="00BF1B78" w:rsidRDefault="00B3323E" w:rsidP="00B3323E">
            <w:pPr>
              <w:pStyle w:val="Default"/>
              <w:spacing w:before="120" w:after="120"/>
              <w:jc w:val="center"/>
              <w:rPr>
                <w:rFonts w:ascii="Times New Roman" w:hAnsi="Times New Roman" w:cs="Times New Roman"/>
                <w:b/>
                <w:sz w:val="40"/>
                <w:szCs w:val="40"/>
              </w:rPr>
            </w:pPr>
            <w:r w:rsidRPr="00BF1B78">
              <w:rPr>
                <w:rFonts w:ascii="Times New Roman" w:hAnsi="Times New Roman" w:cs="Times New Roman"/>
                <w:b/>
                <w:sz w:val="40"/>
                <w:szCs w:val="40"/>
              </w:rPr>
              <w:t>ANKETA STRUKTURORE E NDËRMARRJEVE</w:t>
            </w:r>
          </w:p>
          <w:p w:rsidR="00B3323E" w:rsidRDefault="00B3323E" w:rsidP="00B3323E">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Metad</w:t>
            </w:r>
            <w:r>
              <w:rPr>
                <w:rFonts w:ascii="Times New Roman" w:hAnsi="Times New Roman" w:cs="Times New Roman"/>
                <w:sz w:val="28"/>
              </w:rPr>
              <w:t xml:space="preserve">ata </w:t>
            </w:r>
            <w:proofErr w:type="spellStart"/>
            <w:r>
              <w:rPr>
                <w:rFonts w:ascii="Times New Roman" w:hAnsi="Times New Roman" w:cs="Times New Roman"/>
                <w:sz w:val="28"/>
              </w:rPr>
              <w:t>Referenciale</w:t>
            </w:r>
            <w:proofErr w:type="spellEnd"/>
            <w:r>
              <w:rPr>
                <w:rFonts w:ascii="Times New Roman" w:hAnsi="Times New Roman" w:cs="Times New Roman"/>
                <w:sz w:val="28"/>
              </w:rPr>
              <w:t xml:space="preserve"> në format Euro </w:t>
            </w:r>
            <w:r w:rsidRPr="003616FF">
              <w:rPr>
                <w:rFonts w:ascii="Times New Roman" w:hAnsi="Times New Roman" w:cs="Times New Roman"/>
                <w:sz w:val="28"/>
              </w:rPr>
              <w:t xml:space="preserve">SDMX Metadata Structure </w:t>
            </w:r>
          </w:p>
          <w:p w:rsidR="00B3323E" w:rsidRPr="003616FF" w:rsidRDefault="00B3323E" w:rsidP="00B3323E">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(ESMS)</w:t>
            </w:r>
          </w:p>
          <w:p w:rsidR="00B3323E" w:rsidRDefault="00B3323E" w:rsidP="00B3323E">
            <w:pPr>
              <w:jc w:val="center"/>
            </w:pPr>
            <w:r w:rsidRPr="003616FF">
              <w:rPr>
                <w:rFonts w:ascii="Times New Roman" w:hAnsi="Times New Roman" w:cs="Times New Roman"/>
                <w:sz w:val="36"/>
              </w:rPr>
              <w:t>INSTAT</w:t>
            </w:r>
          </w:p>
        </w:tc>
      </w:tr>
    </w:tbl>
    <w:p w:rsidR="00B3323E" w:rsidRDefault="00B3323E"/>
    <w:p w:rsidR="005A3CA6" w:rsidRDefault="005A3CA6"/>
    <w:p w:rsidR="00B3323E" w:rsidRDefault="00B3323E"/>
    <w:p w:rsidR="00B3323E" w:rsidRDefault="00B3323E"/>
    <w:p w:rsidR="00B3323E" w:rsidRDefault="00B3323E"/>
    <w:p w:rsidR="00B3323E" w:rsidRDefault="00B3323E"/>
    <w:p w:rsidR="00B3323E" w:rsidRDefault="00B3323E"/>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6912E1" w:rsidRPr="00761472" w:rsidRDefault="006912E1">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 xml:space="preserve">Metadata </w:t>
          </w:r>
          <w:proofErr w:type="spellStart"/>
          <w:r w:rsidRPr="00761472">
            <w:rPr>
              <w:rFonts w:ascii="Times New Roman" w:hAnsi="Times New Roman" w:cs="Times New Roman"/>
              <w:color w:val="000000" w:themeColor="text1"/>
              <w:szCs w:val="24"/>
            </w:rPr>
            <w:t>Referenciale</w:t>
          </w:r>
          <w:proofErr w:type="spellEnd"/>
        </w:p>
        <w:p w:rsidR="000F0ADC" w:rsidRDefault="00FF6D5E">
          <w:pPr>
            <w:pStyle w:val="TOC1"/>
            <w:tabs>
              <w:tab w:val="right" w:leader="dot" w:pos="10456"/>
            </w:tabs>
            <w:rPr>
              <w:noProof/>
            </w:rPr>
          </w:pPr>
          <w:r w:rsidRPr="00761472">
            <w:rPr>
              <w:rFonts w:ascii="Times New Roman" w:hAnsi="Times New Roman" w:cs="Times New Roman"/>
              <w:sz w:val="24"/>
              <w:szCs w:val="24"/>
            </w:rPr>
            <w:fldChar w:fldCharType="begin"/>
          </w:r>
          <w:r w:rsidR="006912E1" w:rsidRPr="00761472">
            <w:rPr>
              <w:rFonts w:ascii="Times New Roman" w:hAnsi="Times New Roman" w:cs="Times New Roman"/>
              <w:sz w:val="24"/>
              <w:szCs w:val="24"/>
            </w:rPr>
            <w:instrText xml:space="preserve"> TOC \o "1-3" \h \z \u </w:instrText>
          </w:r>
          <w:r w:rsidRPr="00761472">
            <w:rPr>
              <w:rFonts w:ascii="Times New Roman" w:hAnsi="Times New Roman" w:cs="Times New Roman"/>
              <w:sz w:val="24"/>
              <w:szCs w:val="24"/>
            </w:rPr>
            <w:fldChar w:fldCharType="separate"/>
          </w:r>
          <w:hyperlink w:anchor="_Toc64358753" w:history="1">
            <w:r w:rsidR="000F0ADC" w:rsidRPr="00C715DF">
              <w:rPr>
                <w:rStyle w:val="Hyperlink"/>
                <w:rFonts w:ascii="Times New Roman" w:eastAsia="Times New Roman" w:hAnsi="Times New Roman" w:cs="Times New Roman"/>
                <w:noProof/>
                <w:lang w:val="sq-AL" w:eastAsia="sq-AL"/>
              </w:rPr>
              <w:t>1. Kontakt</w:t>
            </w:r>
            <w:r w:rsidR="000F0ADC">
              <w:rPr>
                <w:noProof/>
                <w:webHidden/>
              </w:rPr>
              <w:tab/>
            </w:r>
            <w:r w:rsidR="000F0ADC">
              <w:rPr>
                <w:noProof/>
                <w:webHidden/>
              </w:rPr>
              <w:fldChar w:fldCharType="begin"/>
            </w:r>
            <w:r w:rsidR="000F0ADC">
              <w:rPr>
                <w:noProof/>
                <w:webHidden/>
              </w:rPr>
              <w:instrText xml:space="preserve"> PAGEREF _Toc64358753 \h </w:instrText>
            </w:r>
            <w:r w:rsidR="000F0ADC">
              <w:rPr>
                <w:noProof/>
                <w:webHidden/>
              </w:rPr>
            </w:r>
            <w:r w:rsidR="000F0ADC">
              <w:rPr>
                <w:noProof/>
                <w:webHidden/>
              </w:rPr>
              <w:fldChar w:fldCharType="separate"/>
            </w:r>
            <w:r w:rsidR="000F0ADC">
              <w:rPr>
                <w:noProof/>
                <w:webHidden/>
              </w:rPr>
              <w:t>2</w:t>
            </w:r>
            <w:r w:rsidR="000F0ADC">
              <w:rPr>
                <w:noProof/>
                <w:webHidden/>
              </w:rPr>
              <w:fldChar w:fldCharType="end"/>
            </w:r>
          </w:hyperlink>
        </w:p>
        <w:p w:rsidR="000F0ADC" w:rsidRDefault="000C739E">
          <w:pPr>
            <w:pStyle w:val="TOC1"/>
            <w:tabs>
              <w:tab w:val="right" w:leader="dot" w:pos="10456"/>
            </w:tabs>
            <w:rPr>
              <w:noProof/>
            </w:rPr>
          </w:pPr>
          <w:hyperlink w:anchor="_Toc64358754" w:history="1">
            <w:r w:rsidR="000F0ADC" w:rsidRPr="00C715DF">
              <w:rPr>
                <w:rStyle w:val="Hyperlink"/>
                <w:rFonts w:ascii="Times New Roman" w:eastAsia="Times New Roman" w:hAnsi="Times New Roman" w:cs="Times New Roman"/>
                <w:noProof/>
                <w:lang w:val="sq-AL" w:eastAsia="sq-AL"/>
              </w:rPr>
              <w:t>2. Përditësimi i metadatave</w:t>
            </w:r>
            <w:r w:rsidR="000F0ADC">
              <w:rPr>
                <w:noProof/>
                <w:webHidden/>
              </w:rPr>
              <w:tab/>
            </w:r>
            <w:r w:rsidR="000F0ADC">
              <w:rPr>
                <w:noProof/>
                <w:webHidden/>
              </w:rPr>
              <w:fldChar w:fldCharType="begin"/>
            </w:r>
            <w:r w:rsidR="000F0ADC">
              <w:rPr>
                <w:noProof/>
                <w:webHidden/>
              </w:rPr>
              <w:instrText xml:space="preserve"> PAGEREF _Toc64358754 \h </w:instrText>
            </w:r>
            <w:r w:rsidR="000F0ADC">
              <w:rPr>
                <w:noProof/>
                <w:webHidden/>
              </w:rPr>
            </w:r>
            <w:r w:rsidR="000F0ADC">
              <w:rPr>
                <w:noProof/>
                <w:webHidden/>
              </w:rPr>
              <w:fldChar w:fldCharType="separate"/>
            </w:r>
            <w:r w:rsidR="000F0ADC">
              <w:rPr>
                <w:noProof/>
                <w:webHidden/>
              </w:rPr>
              <w:t>2</w:t>
            </w:r>
            <w:r w:rsidR="000F0ADC">
              <w:rPr>
                <w:noProof/>
                <w:webHidden/>
              </w:rPr>
              <w:fldChar w:fldCharType="end"/>
            </w:r>
          </w:hyperlink>
        </w:p>
        <w:p w:rsidR="000F0ADC" w:rsidRDefault="000C739E">
          <w:pPr>
            <w:pStyle w:val="TOC1"/>
            <w:tabs>
              <w:tab w:val="right" w:leader="dot" w:pos="10456"/>
            </w:tabs>
            <w:rPr>
              <w:noProof/>
            </w:rPr>
          </w:pPr>
          <w:hyperlink w:anchor="_Toc64358755" w:history="1">
            <w:r w:rsidR="000F0ADC" w:rsidRPr="00C715DF">
              <w:rPr>
                <w:rStyle w:val="Hyperlink"/>
                <w:rFonts w:ascii="Times New Roman" w:eastAsia="Times New Roman" w:hAnsi="Times New Roman" w:cs="Times New Roman"/>
                <w:noProof/>
                <w:lang w:val="sq-AL" w:eastAsia="sq-AL"/>
              </w:rPr>
              <w:t>3. Paraqitja statistikore</w:t>
            </w:r>
            <w:r w:rsidR="000F0ADC">
              <w:rPr>
                <w:noProof/>
                <w:webHidden/>
              </w:rPr>
              <w:tab/>
            </w:r>
            <w:r w:rsidR="000F0ADC">
              <w:rPr>
                <w:noProof/>
                <w:webHidden/>
              </w:rPr>
              <w:fldChar w:fldCharType="begin"/>
            </w:r>
            <w:r w:rsidR="000F0ADC">
              <w:rPr>
                <w:noProof/>
                <w:webHidden/>
              </w:rPr>
              <w:instrText xml:space="preserve"> PAGEREF _Toc64358755 \h </w:instrText>
            </w:r>
            <w:r w:rsidR="000F0ADC">
              <w:rPr>
                <w:noProof/>
                <w:webHidden/>
              </w:rPr>
            </w:r>
            <w:r w:rsidR="000F0ADC">
              <w:rPr>
                <w:noProof/>
                <w:webHidden/>
              </w:rPr>
              <w:fldChar w:fldCharType="separate"/>
            </w:r>
            <w:r w:rsidR="000F0ADC">
              <w:rPr>
                <w:noProof/>
                <w:webHidden/>
              </w:rPr>
              <w:t>2</w:t>
            </w:r>
            <w:r w:rsidR="000F0ADC">
              <w:rPr>
                <w:noProof/>
                <w:webHidden/>
              </w:rPr>
              <w:fldChar w:fldCharType="end"/>
            </w:r>
          </w:hyperlink>
        </w:p>
        <w:p w:rsidR="000F0ADC" w:rsidRDefault="000C739E">
          <w:pPr>
            <w:pStyle w:val="TOC1"/>
            <w:tabs>
              <w:tab w:val="right" w:leader="dot" w:pos="10456"/>
            </w:tabs>
            <w:rPr>
              <w:noProof/>
            </w:rPr>
          </w:pPr>
          <w:hyperlink w:anchor="_Toc64358756" w:history="1">
            <w:r w:rsidR="000F0ADC" w:rsidRPr="00C715DF">
              <w:rPr>
                <w:rStyle w:val="Hyperlink"/>
                <w:rFonts w:ascii="Times New Roman" w:eastAsia="Times New Roman" w:hAnsi="Times New Roman" w:cs="Times New Roman"/>
                <w:noProof/>
                <w:lang w:val="sq-AL" w:eastAsia="sq-AL"/>
              </w:rPr>
              <w:t>4. Njësia matëse</w:t>
            </w:r>
            <w:r w:rsidR="000F0ADC">
              <w:rPr>
                <w:noProof/>
                <w:webHidden/>
              </w:rPr>
              <w:tab/>
            </w:r>
            <w:r w:rsidR="000F0ADC">
              <w:rPr>
                <w:noProof/>
                <w:webHidden/>
              </w:rPr>
              <w:fldChar w:fldCharType="begin"/>
            </w:r>
            <w:r w:rsidR="000F0ADC">
              <w:rPr>
                <w:noProof/>
                <w:webHidden/>
              </w:rPr>
              <w:instrText xml:space="preserve"> PAGEREF _Toc64358756 \h </w:instrText>
            </w:r>
            <w:r w:rsidR="000F0ADC">
              <w:rPr>
                <w:noProof/>
                <w:webHidden/>
              </w:rPr>
            </w:r>
            <w:r w:rsidR="000F0ADC">
              <w:rPr>
                <w:noProof/>
                <w:webHidden/>
              </w:rPr>
              <w:fldChar w:fldCharType="separate"/>
            </w:r>
            <w:r w:rsidR="000F0ADC">
              <w:rPr>
                <w:noProof/>
                <w:webHidden/>
              </w:rPr>
              <w:t>5</w:t>
            </w:r>
            <w:r w:rsidR="000F0ADC">
              <w:rPr>
                <w:noProof/>
                <w:webHidden/>
              </w:rPr>
              <w:fldChar w:fldCharType="end"/>
            </w:r>
          </w:hyperlink>
        </w:p>
        <w:p w:rsidR="000F0ADC" w:rsidRDefault="000C739E">
          <w:pPr>
            <w:pStyle w:val="TOC1"/>
            <w:tabs>
              <w:tab w:val="right" w:leader="dot" w:pos="10456"/>
            </w:tabs>
            <w:rPr>
              <w:noProof/>
            </w:rPr>
          </w:pPr>
          <w:hyperlink w:anchor="_Toc64358757" w:history="1">
            <w:r w:rsidR="000F0ADC" w:rsidRPr="00C715DF">
              <w:rPr>
                <w:rStyle w:val="Hyperlink"/>
                <w:rFonts w:ascii="Times New Roman" w:eastAsia="Times New Roman" w:hAnsi="Times New Roman" w:cs="Times New Roman"/>
                <w:noProof/>
                <w:lang w:val="sq-AL" w:eastAsia="sq-AL"/>
              </w:rPr>
              <w:t>5. Periudha e referencës</w:t>
            </w:r>
            <w:r w:rsidR="000F0ADC">
              <w:rPr>
                <w:noProof/>
                <w:webHidden/>
              </w:rPr>
              <w:tab/>
            </w:r>
            <w:r w:rsidR="000F0ADC">
              <w:rPr>
                <w:noProof/>
                <w:webHidden/>
              </w:rPr>
              <w:fldChar w:fldCharType="begin"/>
            </w:r>
            <w:r w:rsidR="000F0ADC">
              <w:rPr>
                <w:noProof/>
                <w:webHidden/>
              </w:rPr>
              <w:instrText xml:space="preserve"> PAGEREF _Toc64358757 \h </w:instrText>
            </w:r>
            <w:r w:rsidR="000F0ADC">
              <w:rPr>
                <w:noProof/>
                <w:webHidden/>
              </w:rPr>
            </w:r>
            <w:r w:rsidR="000F0ADC">
              <w:rPr>
                <w:noProof/>
                <w:webHidden/>
              </w:rPr>
              <w:fldChar w:fldCharType="separate"/>
            </w:r>
            <w:r w:rsidR="000F0ADC">
              <w:rPr>
                <w:noProof/>
                <w:webHidden/>
              </w:rPr>
              <w:t>5</w:t>
            </w:r>
            <w:r w:rsidR="000F0ADC">
              <w:rPr>
                <w:noProof/>
                <w:webHidden/>
              </w:rPr>
              <w:fldChar w:fldCharType="end"/>
            </w:r>
          </w:hyperlink>
        </w:p>
        <w:p w:rsidR="000F0ADC" w:rsidRDefault="000C739E">
          <w:pPr>
            <w:pStyle w:val="TOC1"/>
            <w:tabs>
              <w:tab w:val="right" w:leader="dot" w:pos="10456"/>
            </w:tabs>
            <w:rPr>
              <w:noProof/>
            </w:rPr>
          </w:pPr>
          <w:hyperlink w:anchor="_Toc64358758" w:history="1">
            <w:r w:rsidR="000F0ADC" w:rsidRPr="00C715DF">
              <w:rPr>
                <w:rStyle w:val="Hyperlink"/>
                <w:rFonts w:ascii="Times New Roman" w:eastAsia="Times New Roman" w:hAnsi="Times New Roman" w:cs="Times New Roman"/>
                <w:noProof/>
                <w:lang w:val="sq-AL" w:eastAsia="sq-AL"/>
              </w:rPr>
              <w:t>6. Mandati institucional</w:t>
            </w:r>
            <w:r w:rsidR="000F0ADC">
              <w:rPr>
                <w:noProof/>
                <w:webHidden/>
              </w:rPr>
              <w:tab/>
            </w:r>
            <w:r w:rsidR="000F0ADC">
              <w:rPr>
                <w:noProof/>
                <w:webHidden/>
              </w:rPr>
              <w:fldChar w:fldCharType="begin"/>
            </w:r>
            <w:r w:rsidR="000F0ADC">
              <w:rPr>
                <w:noProof/>
                <w:webHidden/>
              </w:rPr>
              <w:instrText xml:space="preserve"> PAGEREF _Toc64358758 \h </w:instrText>
            </w:r>
            <w:r w:rsidR="000F0ADC">
              <w:rPr>
                <w:noProof/>
                <w:webHidden/>
              </w:rPr>
            </w:r>
            <w:r w:rsidR="000F0ADC">
              <w:rPr>
                <w:noProof/>
                <w:webHidden/>
              </w:rPr>
              <w:fldChar w:fldCharType="separate"/>
            </w:r>
            <w:r w:rsidR="000F0ADC">
              <w:rPr>
                <w:noProof/>
                <w:webHidden/>
              </w:rPr>
              <w:t>5</w:t>
            </w:r>
            <w:r w:rsidR="000F0ADC">
              <w:rPr>
                <w:noProof/>
                <w:webHidden/>
              </w:rPr>
              <w:fldChar w:fldCharType="end"/>
            </w:r>
          </w:hyperlink>
        </w:p>
        <w:p w:rsidR="000F0ADC" w:rsidRDefault="000C739E">
          <w:pPr>
            <w:pStyle w:val="TOC1"/>
            <w:tabs>
              <w:tab w:val="right" w:leader="dot" w:pos="10456"/>
            </w:tabs>
            <w:rPr>
              <w:noProof/>
            </w:rPr>
          </w:pPr>
          <w:hyperlink w:anchor="_Toc64358759" w:history="1">
            <w:r w:rsidR="000F0ADC" w:rsidRPr="00C715DF">
              <w:rPr>
                <w:rStyle w:val="Hyperlink"/>
                <w:rFonts w:ascii="Times New Roman" w:eastAsia="Times New Roman" w:hAnsi="Times New Roman" w:cs="Times New Roman"/>
                <w:noProof/>
                <w:lang w:val="sq-AL" w:eastAsia="sq-AL"/>
              </w:rPr>
              <w:t>7. Konfidencialiteti</w:t>
            </w:r>
            <w:r w:rsidR="000F0ADC">
              <w:rPr>
                <w:noProof/>
                <w:webHidden/>
              </w:rPr>
              <w:tab/>
            </w:r>
            <w:r w:rsidR="000F0ADC">
              <w:rPr>
                <w:noProof/>
                <w:webHidden/>
              </w:rPr>
              <w:fldChar w:fldCharType="begin"/>
            </w:r>
            <w:r w:rsidR="000F0ADC">
              <w:rPr>
                <w:noProof/>
                <w:webHidden/>
              </w:rPr>
              <w:instrText xml:space="preserve"> PAGEREF _Toc64358759 \h </w:instrText>
            </w:r>
            <w:r w:rsidR="000F0ADC">
              <w:rPr>
                <w:noProof/>
                <w:webHidden/>
              </w:rPr>
            </w:r>
            <w:r w:rsidR="000F0ADC">
              <w:rPr>
                <w:noProof/>
                <w:webHidden/>
              </w:rPr>
              <w:fldChar w:fldCharType="separate"/>
            </w:r>
            <w:r w:rsidR="000F0ADC">
              <w:rPr>
                <w:noProof/>
                <w:webHidden/>
              </w:rPr>
              <w:t>6</w:t>
            </w:r>
            <w:r w:rsidR="000F0ADC">
              <w:rPr>
                <w:noProof/>
                <w:webHidden/>
              </w:rPr>
              <w:fldChar w:fldCharType="end"/>
            </w:r>
          </w:hyperlink>
        </w:p>
        <w:p w:rsidR="000F0ADC" w:rsidRDefault="000C739E">
          <w:pPr>
            <w:pStyle w:val="TOC1"/>
            <w:tabs>
              <w:tab w:val="right" w:leader="dot" w:pos="10456"/>
            </w:tabs>
            <w:rPr>
              <w:noProof/>
            </w:rPr>
          </w:pPr>
          <w:hyperlink w:anchor="_Toc64358760" w:history="1">
            <w:r w:rsidR="000F0ADC" w:rsidRPr="00C715DF">
              <w:rPr>
                <w:rStyle w:val="Hyperlink"/>
                <w:rFonts w:ascii="Times New Roman" w:eastAsia="Times New Roman" w:hAnsi="Times New Roman" w:cs="Times New Roman"/>
                <w:noProof/>
                <w:lang w:val="sq-AL" w:eastAsia="sq-AL"/>
              </w:rPr>
              <w:t>8. Politika e botimit</w:t>
            </w:r>
            <w:r w:rsidR="000F0ADC">
              <w:rPr>
                <w:noProof/>
                <w:webHidden/>
              </w:rPr>
              <w:tab/>
            </w:r>
            <w:r w:rsidR="000F0ADC">
              <w:rPr>
                <w:noProof/>
                <w:webHidden/>
              </w:rPr>
              <w:fldChar w:fldCharType="begin"/>
            </w:r>
            <w:r w:rsidR="000F0ADC">
              <w:rPr>
                <w:noProof/>
                <w:webHidden/>
              </w:rPr>
              <w:instrText xml:space="preserve"> PAGEREF _Toc64358760 \h </w:instrText>
            </w:r>
            <w:r w:rsidR="000F0ADC">
              <w:rPr>
                <w:noProof/>
                <w:webHidden/>
              </w:rPr>
            </w:r>
            <w:r w:rsidR="000F0ADC">
              <w:rPr>
                <w:noProof/>
                <w:webHidden/>
              </w:rPr>
              <w:fldChar w:fldCharType="separate"/>
            </w:r>
            <w:r w:rsidR="000F0ADC">
              <w:rPr>
                <w:noProof/>
                <w:webHidden/>
              </w:rPr>
              <w:t>6</w:t>
            </w:r>
            <w:r w:rsidR="000F0ADC">
              <w:rPr>
                <w:noProof/>
                <w:webHidden/>
              </w:rPr>
              <w:fldChar w:fldCharType="end"/>
            </w:r>
          </w:hyperlink>
        </w:p>
        <w:p w:rsidR="000F0ADC" w:rsidRDefault="000C739E">
          <w:pPr>
            <w:pStyle w:val="TOC1"/>
            <w:tabs>
              <w:tab w:val="right" w:leader="dot" w:pos="10456"/>
            </w:tabs>
            <w:rPr>
              <w:noProof/>
            </w:rPr>
          </w:pPr>
          <w:hyperlink w:anchor="_Toc64358761" w:history="1">
            <w:r w:rsidR="000F0ADC" w:rsidRPr="00C715DF">
              <w:rPr>
                <w:rStyle w:val="Hyperlink"/>
                <w:rFonts w:ascii="Times New Roman" w:eastAsia="Times New Roman" w:hAnsi="Times New Roman" w:cs="Times New Roman"/>
                <w:noProof/>
                <w:lang w:val="sq-AL" w:eastAsia="sq-AL"/>
              </w:rPr>
              <w:t>9.Shpeshtësia e shpërndarjes</w:t>
            </w:r>
            <w:r w:rsidR="000F0ADC">
              <w:rPr>
                <w:noProof/>
                <w:webHidden/>
              </w:rPr>
              <w:tab/>
            </w:r>
            <w:r w:rsidR="000F0ADC">
              <w:rPr>
                <w:noProof/>
                <w:webHidden/>
              </w:rPr>
              <w:fldChar w:fldCharType="begin"/>
            </w:r>
            <w:r w:rsidR="000F0ADC">
              <w:rPr>
                <w:noProof/>
                <w:webHidden/>
              </w:rPr>
              <w:instrText xml:space="preserve"> PAGEREF _Toc64358761 \h </w:instrText>
            </w:r>
            <w:r w:rsidR="000F0ADC">
              <w:rPr>
                <w:noProof/>
                <w:webHidden/>
              </w:rPr>
            </w:r>
            <w:r w:rsidR="000F0ADC">
              <w:rPr>
                <w:noProof/>
                <w:webHidden/>
              </w:rPr>
              <w:fldChar w:fldCharType="separate"/>
            </w:r>
            <w:r w:rsidR="000F0ADC">
              <w:rPr>
                <w:noProof/>
                <w:webHidden/>
              </w:rPr>
              <w:t>7</w:t>
            </w:r>
            <w:r w:rsidR="000F0ADC">
              <w:rPr>
                <w:noProof/>
                <w:webHidden/>
              </w:rPr>
              <w:fldChar w:fldCharType="end"/>
            </w:r>
          </w:hyperlink>
        </w:p>
        <w:p w:rsidR="000F0ADC" w:rsidRDefault="000C739E">
          <w:pPr>
            <w:pStyle w:val="TOC1"/>
            <w:tabs>
              <w:tab w:val="right" w:leader="dot" w:pos="10456"/>
            </w:tabs>
            <w:rPr>
              <w:noProof/>
            </w:rPr>
          </w:pPr>
          <w:hyperlink w:anchor="_Toc64358762" w:history="1">
            <w:r w:rsidR="000F0ADC" w:rsidRPr="00C715DF">
              <w:rPr>
                <w:rStyle w:val="Hyperlink"/>
                <w:rFonts w:ascii="Times New Roman" w:eastAsia="Times New Roman" w:hAnsi="Times New Roman" w:cs="Times New Roman"/>
                <w:noProof/>
                <w:lang w:val="sq-AL" w:eastAsia="sq-AL"/>
              </w:rPr>
              <w:t>10. Aksesi në të dhëna dhe qartësia</w:t>
            </w:r>
            <w:r w:rsidR="000F0ADC">
              <w:rPr>
                <w:noProof/>
                <w:webHidden/>
              </w:rPr>
              <w:tab/>
            </w:r>
            <w:r w:rsidR="000F0ADC">
              <w:rPr>
                <w:noProof/>
                <w:webHidden/>
              </w:rPr>
              <w:fldChar w:fldCharType="begin"/>
            </w:r>
            <w:r w:rsidR="000F0ADC">
              <w:rPr>
                <w:noProof/>
                <w:webHidden/>
              </w:rPr>
              <w:instrText xml:space="preserve"> PAGEREF _Toc64358762 \h </w:instrText>
            </w:r>
            <w:r w:rsidR="000F0ADC">
              <w:rPr>
                <w:noProof/>
                <w:webHidden/>
              </w:rPr>
            </w:r>
            <w:r w:rsidR="000F0ADC">
              <w:rPr>
                <w:noProof/>
                <w:webHidden/>
              </w:rPr>
              <w:fldChar w:fldCharType="separate"/>
            </w:r>
            <w:r w:rsidR="000F0ADC">
              <w:rPr>
                <w:noProof/>
                <w:webHidden/>
              </w:rPr>
              <w:t>7</w:t>
            </w:r>
            <w:r w:rsidR="000F0ADC">
              <w:rPr>
                <w:noProof/>
                <w:webHidden/>
              </w:rPr>
              <w:fldChar w:fldCharType="end"/>
            </w:r>
          </w:hyperlink>
        </w:p>
        <w:p w:rsidR="000F0ADC" w:rsidRDefault="000C739E">
          <w:pPr>
            <w:pStyle w:val="TOC1"/>
            <w:tabs>
              <w:tab w:val="right" w:leader="dot" w:pos="10456"/>
            </w:tabs>
            <w:rPr>
              <w:noProof/>
            </w:rPr>
          </w:pPr>
          <w:hyperlink w:anchor="_Toc64358763" w:history="1">
            <w:r w:rsidR="000F0ADC" w:rsidRPr="00C715DF">
              <w:rPr>
                <w:rStyle w:val="Hyperlink"/>
                <w:rFonts w:ascii="Times New Roman" w:eastAsia="Times New Roman" w:hAnsi="Times New Roman" w:cs="Times New Roman"/>
                <w:noProof/>
                <w:lang w:val="sq-AL" w:eastAsia="sq-AL"/>
              </w:rPr>
              <w:t>11. Manaxhimi i cilësisë</w:t>
            </w:r>
            <w:r w:rsidR="000F0ADC">
              <w:rPr>
                <w:noProof/>
                <w:webHidden/>
              </w:rPr>
              <w:tab/>
            </w:r>
            <w:r w:rsidR="000F0ADC">
              <w:rPr>
                <w:noProof/>
                <w:webHidden/>
              </w:rPr>
              <w:fldChar w:fldCharType="begin"/>
            </w:r>
            <w:r w:rsidR="000F0ADC">
              <w:rPr>
                <w:noProof/>
                <w:webHidden/>
              </w:rPr>
              <w:instrText xml:space="preserve"> PAGEREF _Toc64358763 \h </w:instrText>
            </w:r>
            <w:r w:rsidR="000F0ADC">
              <w:rPr>
                <w:noProof/>
                <w:webHidden/>
              </w:rPr>
            </w:r>
            <w:r w:rsidR="000F0ADC">
              <w:rPr>
                <w:noProof/>
                <w:webHidden/>
              </w:rPr>
              <w:fldChar w:fldCharType="separate"/>
            </w:r>
            <w:r w:rsidR="000F0ADC">
              <w:rPr>
                <w:noProof/>
                <w:webHidden/>
              </w:rPr>
              <w:t>8</w:t>
            </w:r>
            <w:r w:rsidR="000F0ADC">
              <w:rPr>
                <w:noProof/>
                <w:webHidden/>
              </w:rPr>
              <w:fldChar w:fldCharType="end"/>
            </w:r>
          </w:hyperlink>
        </w:p>
        <w:p w:rsidR="000F0ADC" w:rsidRDefault="000C739E">
          <w:pPr>
            <w:pStyle w:val="TOC1"/>
            <w:tabs>
              <w:tab w:val="right" w:leader="dot" w:pos="10456"/>
            </w:tabs>
            <w:rPr>
              <w:noProof/>
            </w:rPr>
          </w:pPr>
          <w:hyperlink w:anchor="_Toc64358764" w:history="1">
            <w:r w:rsidR="000F0ADC" w:rsidRPr="00C715DF">
              <w:rPr>
                <w:rStyle w:val="Hyperlink"/>
                <w:rFonts w:ascii="Times New Roman" w:eastAsia="Times New Roman" w:hAnsi="Times New Roman" w:cs="Times New Roman"/>
                <w:noProof/>
                <w:lang w:val="sq-AL" w:eastAsia="sq-AL"/>
              </w:rPr>
              <w:t>12. Rëndësia</w:t>
            </w:r>
            <w:r w:rsidR="000F0ADC">
              <w:rPr>
                <w:noProof/>
                <w:webHidden/>
              </w:rPr>
              <w:tab/>
            </w:r>
            <w:r w:rsidR="000F0ADC">
              <w:rPr>
                <w:noProof/>
                <w:webHidden/>
              </w:rPr>
              <w:fldChar w:fldCharType="begin"/>
            </w:r>
            <w:r w:rsidR="000F0ADC">
              <w:rPr>
                <w:noProof/>
                <w:webHidden/>
              </w:rPr>
              <w:instrText xml:space="preserve"> PAGEREF _Toc64358764 \h </w:instrText>
            </w:r>
            <w:r w:rsidR="000F0ADC">
              <w:rPr>
                <w:noProof/>
                <w:webHidden/>
              </w:rPr>
            </w:r>
            <w:r w:rsidR="000F0ADC">
              <w:rPr>
                <w:noProof/>
                <w:webHidden/>
              </w:rPr>
              <w:fldChar w:fldCharType="separate"/>
            </w:r>
            <w:r w:rsidR="000F0ADC">
              <w:rPr>
                <w:noProof/>
                <w:webHidden/>
              </w:rPr>
              <w:t>8</w:t>
            </w:r>
            <w:r w:rsidR="000F0ADC">
              <w:rPr>
                <w:noProof/>
                <w:webHidden/>
              </w:rPr>
              <w:fldChar w:fldCharType="end"/>
            </w:r>
          </w:hyperlink>
        </w:p>
        <w:p w:rsidR="000F0ADC" w:rsidRDefault="000C739E">
          <w:pPr>
            <w:pStyle w:val="TOC1"/>
            <w:tabs>
              <w:tab w:val="right" w:leader="dot" w:pos="10456"/>
            </w:tabs>
            <w:rPr>
              <w:noProof/>
            </w:rPr>
          </w:pPr>
          <w:hyperlink w:anchor="_Toc64358765" w:history="1">
            <w:r w:rsidR="000F0ADC" w:rsidRPr="00C715DF">
              <w:rPr>
                <w:rStyle w:val="Hyperlink"/>
                <w:rFonts w:ascii="Times New Roman" w:eastAsia="Times New Roman" w:hAnsi="Times New Roman" w:cs="Times New Roman"/>
                <w:noProof/>
                <w:lang w:val="sq-AL" w:eastAsia="sq-AL"/>
              </w:rPr>
              <w:t>13. Saktësia dhe besueshmëria</w:t>
            </w:r>
            <w:r w:rsidR="000F0ADC">
              <w:rPr>
                <w:noProof/>
                <w:webHidden/>
              </w:rPr>
              <w:tab/>
            </w:r>
            <w:r w:rsidR="000F0ADC">
              <w:rPr>
                <w:noProof/>
                <w:webHidden/>
              </w:rPr>
              <w:fldChar w:fldCharType="begin"/>
            </w:r>
            <w:r w:rsidR="000F0ADC">
              <w:rPr>
                <w:noProof/>
                <w:webHidden/>
              </w:rPr>
              <w:instrText xml:space="preserve"> PAGEREF _Toc64358765 \h </w:instrText>
            </w:r>
            <w:r w:rsidR="000F0ADC">
              <w:rPr>
                <w:noProof/>
                <w:webHidden/>
              </w:rPr>
            </w:r>
            <w:r w:rsidR="000F0ADC">
              <w:rPr>
                <w:noProof/>
                <w:webHidden/>
              </w:rPr>
              <w:fldChar w:fldCharType="separate"/>
            </w:r>
            <w:r w:rsidR="000F0ADC">
              <w:rPr>
                <w:noProof/>
                <w:webHidden/>
              </w:rPr>
              <w:t>9</w:t>
            </w:r>
            <w:r w:rsidR="000F0ADC">
              <w:rPr>
                <w:noProof/>
                <w:webHidden/>
              </w:rPr>
              <w:fldChar w:fldCharType="end"/>
            </w:r>
          </w:hyperlink>
        </w:p>
        <w:p w:rsidR="000F0ADC" w:rsidRDefault="000C739E">
          <w:pPr>
            <w:pStyle w:val="TOC1"/>
            <w:tabs>
              <w:tab w:val="right" w:leader="dot" w:pos="10456"/>
            </w:tabs>
            <w:rPr>
              <w:noProof/>
            </w:rPr>
          </w:pPr>
          <w:hyperlink w:anchor="_Toc64358766" w:history="1">
            <w:r w:rsidR="000F0ADC" w:rsidRPr="00C715DF">
              <w:rPr>
                <w:rStyle w:val="Hyperlink"/>
                <w:rFonts w:ascii="Times New Roman" w:eastAsia="Times New Roman" w:hAnsi="Times New Roman" w:cs="Times New Roman"/>
                <w:noProof/>
                <w:lang w:val="sq-AL" w:eastAsia="sq-AL"/>
              </w:rPr>
              <w:t>14. Afatet kohore dhe përpikmëria</w:t>
            </w:r>
            <w:r w:rsidR="000F0ADC">
              <w:rPr>
                <w:noProof/>
                <w:webHidden/>
              </w:rPr>
              <w:tab/>
            </w:r>
            <w:r w:rsidR="000F0ADC">
              <w:rPr>
                <w:noProof/>
                <w:webHidden/>
              </w:rPr>
              <w:fldChar w:fldCharType="begin"/>
            </w:r>
            <w:r w:rsidR="000F0ADC">
              <w:rPr>
                <w:noProof/>
                <w:webHidden/>
              </w:rPr>
              <w:instrText xml:space="preserve"> PAGEREF _Toc64358766 \h </w:instrText>
            </w:r>
            <w:r w:rsidR="000F0ADC">
              <w:rPr>
                <w:noProof/>
                <w:webHidden/>
              </w:rPr>
            </w:r>
            <w:r w:rsidR="000F0ADC">
              <w:rPr>
                <w:noProof/>
                <w:webHidden/>
              </w:rPr>
              <w:fldChar w:fldCharType="separate"/>
            </w:r>
            <w:r w:rsidR="000F0ADC">
              <w:rPr>
                <w:noProof/>
                <w:webHidden/>
              </w:rPr>
              <w:t>10</w:t>
            </w:r>
            <w:r w:rsidR="000F0ADC">
              <w:rPr>
                <w:noProof/>
                <w:webHidden/>
              </w:rPr>
              <w:fldChar w:fldCharType="end"/>
            </w:r>
          </w:hyperlink>
        </w:p>
        <w:p w:rsidR="000F0ADC" w:rsidRDefault="000C739E">
          <w:pPr>
            <w:pStyle w:val="TOC1"/>
            <w:tabs>
              <w:tab w:val="right" w:leader="dot" w:pos="10456"/>
            </w:tabs>
            <w:rPr>
              <w:noProof/>
            </w:rPr>
          </w:pPr>
          <w:hyperlink w:anchor="_Toc64358767" w:history="1">
            <w:r w:rsidR="000F0ADC" w:rsidRPr="00C715DF">
              <w:rPr>
                <w:rStyle w:val="Hyperlink"/>
                <w:rFonts w:ascii="Times New Roman" w:eastAsia="Times New Roman" w:hAnsi="Times New Roman" w:cs="Times New Roman"/>
                <w:noProof/>
                <w:lang w:val="sq-AL" w:eastAsia="sq-AL"/>
              </w:rPr>
              <w:t>15. Koherenca dhe Krahasueshmëria</w:t>
            </w:r>
            <w:r w:rsidR="000F0ADC">
              <w:rPr>
                <w:noProof/>
                <w:webHidden/>
              </w:rPr>
              <w:tab/>
            </w:r>
            <w:r w:rsidR="000F0ADC">
              <w:rPr>
                <w:noProof/>
                <w:webHidden/>
              </w:rPr>
              <w:fldChar w:fldCharType="begin"/>
            </w:r>
            <w:r w:rsidR="000F0ADC">
              <w:rPr>
                <w:noProof/>
                <w:webHidden/>
              </w:rPr>
              <w:instrText xml:space="preserve"> PAGEREF _Toc64358767 \h </w:instrText>
            </w:r>
            <w:r w:rsidR="000F0ADC">
              <w:rPr>
                <w:noProof/>
                <w:webHidden/>
              </w:rPr>
            </w:r>
            <w:r w:rsidR="000F0ADC">
              <w:rPr>
                <w:noProof/>
                <w:webHidden/>
              </w:rPr>
              <w:fldChar w:fldCharType="separate"/>
            </w:r>
            <w:r w:rsidR="000F0ADC">
              <w:rPr>
                <w:noProof/>
                <w:webHidden/>
              </w:rPr>
              <w:t>10</w:t>
            </w:r>
            <w:r w:rsidR="000F0ADC">
              <w:rPr>
                <w:noProof/>
                <w:webHidden/>
              </w:rPr>
              <w:fldChar w:fldCharType="end"/>
            </w:r>
          </w:hyperlink>
        </w:p>
        <w:p w:rsidR="000F0ADC" w:rsidRDefault="000C739E">
          <w:pPr>
            <w:pStyle w:val="TOC1"/>
            <w:tabs>
              <w:tab w:val="right" w:leader="dot" w:pos="10456"/>
            </w:tabs>
            <w:rPr>
              <w:noProof/>
            </w:rPr>
          </w:pPr>
          <w:hyperlink w:anchor="_Toc64358768" w:history="1">
            <w:r w:rsidR="000F0ADC" w:rsidRPr="00C715DF">
              <w:rPr>
                <w:rStyle w:val="Hyperlink"/>
                <w:rFonts w:ascii="Times New Roman" w:eastAsia="Times New Roman" w:hAnsi="Times New Roman" w:cs="Times New Roman"/>
                <w:noProof/>
                <w:lang w:val="sq-AL" w:eastAsia="sq-AL"/>
              </w:rPr>
              <w:t>16. Kostoja dhe ngarkesa</w:t>
            </w:r>
            <w:r w:rsidR="000F0ADC">
              <w:rPr>
                <w:noProof/>
                <w:webHidden/>
              </w:rPr>
              <w:tab/>
            </w:r>
            <w:r w:rsidR="000F0ADC">
              <w:rPr>
                <w:noProof/>
                <w:webHidden/>
              </w:rPr>
              <w:fldChar w:fldCharType="begin"/>
            </w:r>
            <w:r w:rsidR="000F0ADC">
              <w:rPr>
                <w:noProof/>
                <w:webHidden/>
              </w:rPr>
              <w:instrText xml:space="preserve"> PAGEREF _Toc64358768 \h </w:instrText>
            </w:r>
            <w:r w:rsidR="000F0ADC">
              <w:rPr>
                <w:noProof/>
                <w:webHidden/>
              </w:rPr>
            </w:r>
            <w:r w:rsidR="000F0ADC">
              <w:rPr>
                <w:noProof/>
                <w:webHidden/>
              </w:rPr>
              <w:fldChar w:fldCharType="separate"/>
            </w:r>
            <w:r w:rsidR="000F0ADC">
              <w:rPr>
                <w:noProof/>
                <w:webHidden/>
              </w:rPr>
              <w:t>11</w:t>
            </w:r>
            <w:r w:rsidR="000F0ADC">
              <w:rPr>
                <w:noProof/>
                <w:webHidden/>
              </w:rPr>
              <w:fldChar w:fldCharType="end"/>
            </w:r>
          </w:hyperlink>
        </w:p>
        <w:p w:rsidR="000F0ADC" w:rsidRDefault="000C739E">
          <w:pPr>
            <w:pStyle w:val="TOC1"/>
            <w:tabs>
              <w:tab w:val="right" w:leader="dot" w:pos="10456"/>
            </w:tabs>
            <w:rPr>
              <w:noProof/>
            </w:rPr>
          </w:pPr>
          <w:hyperlink w:anchor="_Toc64358769" w:history="1">
            <w:r w:rsidR="000F0ADC" w:rsidRPr="00C715DF">
              <w:rPr>
                <w:rStyle w:val="Hyperlink"/>
                <w:rFonts w:ascii="Times New Roman" w:eastAsia="Times New Roman" w:hAnsi="Times New Roman" w:cs="Times New Roman"/>
                <w:noProof/>
                <w:lang w:val="sq-AL" w:eastAsia="sq-AL"/>
              </w:rPr>
              <w:t>17. Rishikimi i të dhënave</w:t>
            </w:r>
            <w:r w:rsidR="000F0ADC">
              <w:rPr>
                <w:noProof/>
                <w:webHidden/>
              </w:rPr>
              <w:tab/>
            </w:r>
            <w:r w:rsidR="000F0ADC">
              <w:rPr>
                <w:noProof/>
                <w:webHidden/>
              </w:rPr>
              <w:fldChar w:fldCharType="begin"/>
            </w:r>
            <w:r w:rsidR="000F0ADC">
              <w:rPr>
                <w:noProof/>
                <w:webHidden/>
              </w:rPr>
              <w:instrText xml:space="preserve"> PAGEREF _Toc64358769 \h </w:instrText>
            </w:r>
            <w:r w:rsidR="000F0ADC">
              <w:rPr>
                <w:noProof/>
                <w:webHidden/>
              </w:rPr>
            </w:r>
            <w:r w:rsidR="000F0ADC">
              <w:rPr>
                <w:noProof/>
                <w:webHidden/>
              </w:rPr>
              <w:fldChar w:fldCharType="separate"/>
            </w:r>
            <w:r w:rsidR="000F0ADC">
              <w:rPr>
                <w:noProof/>
                <w:webHidden/>
              </w:rPr>
              <w:t>11</w:t>
            </w:r>
            <w:r w:rsidR="000F0ADC">
              <w:rPr>
                <w:noProof/>
                <w:webHidden/>
              </w:rPr>
              <w:fldChar w:fldCharType="end"/>
            </w:r>
          </w:hyperlink>
        </w:p>
        <w:p w:rsidR="000F0ADC" w:rsidRDefault="000C739E">
          <w:pPr>
            <w:pStyle w:val="TOC1"/>
            <w:tabs>
              <w:tab w:val="right" w:leader="dot" w:pos="10456"/>
            </w:tabs>
            <w:rPr>
              <w:noProof/>
            </w:rPr>
          </w:pPr>
          <w:hyperlink w:anchor="_Toc64358770" w:history="1">
            <w:r w:rsidR="000F0ADC" w:rsidRPr="00C715DF">
              <w:rPr>
                <w:rStyle w:val="Hyperlink"/>
                <w:rFonts w:ascii="Times New Roman" w:eastAsia="Times New Roman" w:hAnsi="Times New Roman" w:cs="Times New Roman"/>
                <w:noProof/>
                <w:lang w:val="sq-AL" w:eastAsia="sq-AL"/>
              </w:rPr>
              <w:t>18. Përpunimi statistikor</w:t>
            </w:r>
            <w:r w:rsidR="000F0ADC">
              <w:rPr>
                <w:noProof/>
                <w:webHidden/>
              </w:rPr>
              <w:tab/>
            </w:r>
            <w:r w:rsidR="000F0ADC">
              <w:rPr>
                <w:noProof/>
                <w:webHidden/>
              </w:rPr>
              <w:fldChar w:fldCharType="begin"/>
            </w:r>
            <w:r w:rsidR="000F0ADC">
              <w:rPr>
                <w:noProof/>
                <w:webHidden/>
              </w:rPr>
              <w:instrText xml:space="preserve"> PAGEREF _Toc64358770 \h </w:instrText>
            </w:r>
            <w:r w:rsidR="000F0ADC">
              <w:rPr>
                <w:noProof/>
                <w:webHidden/>
              </w:rPr>
            </w:r>
            <w:r w:rsidR="000F0ADC">
              <w:rPr>
                <w:noProof/>
                <w:webHidden/>
              </w:rPr>
              <w:fldChar w:fldCharType="separate"/>
            </w:r>
            <w:r w:rsidR="000F0ADC">
              <w:rPr>
                <w:noProof/>
                <w:webHidden/>
              </w:rPr>
              <w:t>12</w:t>
            </w:r>
            <w:r w:rsidR="000F0ADC">
              <w:rPr>
                <w:noProof/>
                <w:webHidden/>
              </w:rPr>
              <w:fldChar w:fldCharType="end"/>
            </w:r>
          </w:hyperlink>
        </w:p>
        <w:p w:rsidR="000F0ADC" w:rsidRDefault="000C739E">
          <w:pPr>
            <w:pStyle w:val="TOC1"/>
            <w:tabs>
              <w:tab w:val="right" w:leader="dot" w:pos="10456"/>
            </w:tabs>
            <w:rPr>
              <w:noProof/>
            </w:rPr>
          </w:pPr>
          <w:hyperlink w:anchor="_Toc64358771" w:history="1">
            <w:r w:rsidR="000F0ADC" w:rsidRPr="00C715DF">
              <w:rPr>
                <w:rStyle w:val="Hyperlink"/>
                <w:rFonts w:ascii="Times New Roman" w:eastAsia="Times New Roman" w:hAnsi="Times New Roman" w:cs="Times New Roman"/>
                <w:noProof/>
                <w:lang w:val="sq-AL" w:eastAsia="sq-AL"/>
              </w:rPr>
              <w:t>19. Komente</w:t>
            </w:r>
            <w:r w:rsidR="000F0ADC">
              <w:rPr>
                <w:noProof/>
                <w:webHidden/>
              </w:rPr>
              <w:tab/>
            </w:r>
            <w:r w:rsidR="000F0ADC">
              <w:rPr>
                <w:noProof/>
                <w:webHidden/>
              </w:rPr>
              <w:fldChar w:fldCharType="begin"/>
            </w:r>
            <w:r w:rsidR="000F0ADC">
              <w:rPr>
                <w:noProof/>
                <w:webHidden/>
              </w:rPr>
              <w:instrText xml:space="preserve"> PAGEREF _Toc64358771 \h </w:instrText>
            </w:r>
            <w:r w:rsidR="000F0ADC">
              <w:rPr>
                <w:noProof/>
                <w:webHidden/>
              </w:rPr>
            </w:r>
            <w:r w:rsidR="000F0ADC">
              <w:rPr>
                <w:noProof/>
                <w:webHidden/>
              </w:rPr>
              <w:fldChar w:fldCharType="separate"/>
            </w:r>
            <w:r w:rsidR="000F0ADC">
              <w:rPr>
                <w:noProof/>
                <w:webHidden/>
              </w:rPr>
              <w:t>14</w:t>
            </w:r>
            <w:r w:rsidR="000F0ADC">
              <w:rPr>
                <w:noProof/>
                <w:webHidden/>
              </w:rPr>
              <w:fldChar w:fldCharType="end"/>
            </w:r>
          </w:hyperlink>
        </w:p>
        <w:p w:rsidR="000F0ADC" w:rsidRDefault="000C739E">
          <w:pPr>
            <w:pStyle w:val="TOC1"/>
            <w:tabs>
              <w:tab w:val="right" w:leader="dot" w:pos="10456"/>
            </w:tabs>
            <w:rPr>
              <w:noProof/>
            </w:rPr>
          </w:pPr>
          <w:hyperlink w:anchor="_Toc64358772" w:history="1">
            <w:r w:rsidR="000F0ADC" w:rsidRPr="00C715DF">
              <w:rPr>
                <w:rStyle w:val="Hyperlink"/>
                <w:rFonts w:ascii="Times New Roman" w:eastAsia="Times New Roman" w:hAnsi="Times New Roman" w:cs="Times New Roman"/>
                <w:noProof/>
                <w:lang w:val="sq-AL" w:eastAsia="sq-AL"/>
              </w:rPr>
              <w:t>Aneks 1</w:t>
            </w:r>
            <w:r w:rsidR="000F0ADC">
              <w:rPr>
                <w:noProof/>
                <w:webHidden/>
              </w:rPr>
              <w:tab/>
            </w:r>
            <w:r w:rsidR="000F0ADC">
              <w:rPr>
                <w:noProof/>
                <w:webHidden/>
              </w:rPr>
              <w:fldChar w:fldCharType="begin"/>
            </w:r>
            <w:r w:rsidR="000F0ADC">
              <w:rPr>
                <w:noProof/>
                <w:webHidden/>
              </w:rPr>
              <w:instrText xml:space="preserve"> PAGEREF _Toc64358772 \h </w:instrText>
            </w:r>
            <w:r w:rsidR="000F0ADC">
              <w:rPr>
                <w:noProof/>
                <w:webHidden/>
              </w:rPr>
            </w:r>
            <w:r w:rsidR="000F0ADC">
              <w:rPr>
                <w:noProof/>
                <w:webHidden/>
              </w:rPr>
              <w:fldChar w:fldCharType="separate"/>
            </w:r>
            <w:r w:rsidR="000F0ADC">
              <w:rPr>
                <w:noProof/>
                <w:webHidden/>
              </w:rPr>
              <w:t>14</w:t>
            </w:r>
            <w:r w:rsidR="000F0ADC">
              <w:rPr>
                <w:noProof/>
                <w:webHidden/>
              </w:rPr>
              <w:fldChar w:fldCharType="end"/>
            </w:r>
          </w:hyperlink>
        </w:p>
        <w:p w:rsidR="006912E1" w:rsidRDefault="00FF6D5E">
          <w:r w:rsidRPr="00761472">
            <w:rPr>
              <w:rFonts w:ascii="Times New Roman" w:hAnsi="Times New Roman" w:cs="Times New Roman"/>
              <w:sz w:val="24"/>
              <w:szCs w:val="24"/>
            </w:rPr>
            <w:fldChar w:fldCharType="end"/>
          </w:r>
        </w:p>
      </w:sdtContent>
    </w:sdt>
    <w:p w:rsidR="006912E1" w:rsidRDefault="006912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7953"/>
      </w:tblGrid>
      <w:tr w:rsidR="00247A56" w:rsidRPr="00430D9B" w:rsidTr="004767F6">
        <w:trPr>
          <w:trHeight w:val="613"/>
        </w:trPr>
        <w:tc>
          <w:tcPr>
            <w:tcW w:w="10406" w:type="dxa"/>
            <w:gridSpan w:val="2"/>
            <w:shd w:val="clear" w:color="auto" w:fill="FBD4B4" w:themeFill="accent6" w:themeFillTint="66"/>
            <w:noWrap/>
            <w:vAlign w:val="center"/>
            <w:hideMark/>
          </w:tcPr>
          <w:p w:rsidR="00247A56" w:rsidRPr="00430D9B" w:rsidRDefault="00247A56" w:rsidP="00430D9B">
            <w:pPr>
              <w:pStyle w:val="Heading1"/>
              <w:spacing w:before="0"/>
              <w:rPr>
                <w:rFonts w:ascii="Times New Roman" w:eastAsia="Times New Roman" w:hAnsi="Times New Roman" w:cs="Times New Roman"/>
                <w:noProof/>
                <w:color w:val="000000" w:themeColor="text1"/>
                <w:sz w:val="24"/>
                <w:szCs w:val="24"/>
                <w:lang w:val="sq-AL" w:eastAsia="sq-AL"/>
              </w:rPr>
            </w:pPr>
            <w:bookmarkStart w:id="0" w:name="_Toc64358753"/>
            <w:r w:rsidRPr="00430D9B">
              <w:rPr>
                <w:rFonts w:ascii="Times New Roman" w:eastAsia="Times New Roman" w:hAnsi="Times New Roman" w:cs="Times New Roman"/>
                <w:noProof/>
                <w:color w:val="000000" w:themeColor="text1"/>
                <w:sz w:val="24"/>
                <w:szCs w:val="24"/>
                <w:lang w:val="sq-AL" w:eastAsia="sq-AL"/>
              </w:rPr>
              <w:lastRenderedPageBreak/>
              <w:t>1.</w:t>
            </w:r>
            <w:r w:rsidR="00223F89" w:rsidRPr="00430D9B">
              <w:rPr>
                <w:rFonts w:ascii="Times New Roman" w:eastAsia="Times New Roman" w:hAnsi="Times New Roman" w:cs="Times New Roman"/>
                <w:noProof/>
                <w:color w:val="000000" w:themeColor="text1"/>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Kontakt</w:t>
            </w:r>
            <w:bookmarkEnd w:id="0"/>
          </w:p>
        </w:tc>
      </w:tr>
      <w:tr w:rsidR="00B15F7B" w:rsidRPr="00430D9B"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 Institucioni i kontaktit</w:t>
            </w:r>
          </w:p>
        </w:tc>
        <w:tc>
          <w:tcPr>
            <w:tcW w:w="7953" w:type="dxa"/>
            <w:shd w:val="clear" w:color="auto" w:fill="auto"/>
            <w:noWrap/>
            <w:vAlign w:val="center"/>
            <w:hideMark/>
          </w:tcPr>
          <w:p w:rsidR="00247A56" w:rsidRPr="00E5417B" w:rsidRDefault="00E5417B" w:rsidP="003050CD">
            <w:pPr>
              <w:spacing w:before="240" w:after="240" w:line="240" w:lineRule="auto"/>
              <w:ind w:left="101" w:right="86"/>
              <w:jc w:val="both"/>
              <w:rPr>
                <w:rFonts w:ascii="Times New Roman" w:hAnsi="Times New Roman" w:cs="Times New Roman"/>
                <w:noProof/>
                <w:color w:val="000000"/>
                <w:sz w:val="24"/>
                <w:szCs w:val="24"/>
                <w:lang w:val="sq-AL"/>
              </w:rPr>
            </w:pPr>
            <w:proofErr w:type="spellStart"/>
            <w:r w:rsidRPr="00E5417B">
              <w:rPr>
                <w:rFonts w:ascii="Times New Roman" w:hAnsi="Times New Roman" w:cs="Times New Roman"/>
                <w:sz w:val="24"/>
                <w:szCs w:val="24"/>
              </w:rPr>
              <w:t>Instituti</w:t>
            </w:r>
            <w:proofErr w:type="spellEnd"/>
            <w:r w:rsidRPr="00E5417B">
              <w:rPr>
                <w:rFonts w:ascii="Times New Roman" w:hAnsi="Times New Roman" w:cs="Times New Roman"/>
                <w:sz w:val="24"/>
                <w:szCs w:val="24"/>
              </w:rPr>
              <w:t xml:space="preserve"> i Statistikave, INSTAT</w:t>
            </w:r>
          </w:p>
        </w:tc>
      </w:tr>
      <w:tr w:rsidR="00B15F7B" w:rsidRPr="00DE4BE4"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 Njësia e kontaktit</w:t>
            </w:r>
          </w:p>
        </w:tc>
        <w:tc>
          <w:tcPr>
            <w:tcW w:w="7953" w:type="dxa"/>
            <w:shd w:val="clear" w:color="auto" w:fill="auto"/>
            <w:noWrap/>
            <w:vAlign w:val="center"/>
            <w:hideMark/>
          </w:tcPr>
          <w:p w:rsidR="00247A56" w:rsidRPr="00430D9B" w:rsidRDefault="00E5417B" w:rsidP="003050CD">
            <w:pPr>
              <w:spacing w:before="240" w:after="240" w:line="240" w:lineRule="auto"/>
              <w:ind w:left="101" w:right="86"/>
              <w:jc w:val="both"/>
              <w:rPr>
                <w:rFonts w:ascii="Times New Roman" w:hAnsi="Times New Roman" w:cs="Times New Roman"/>
                <w:noProof/>
                <w:color w:val="000000"/>
                <w:sz w:val="24"/>
                <w:szCs w:val="24"/>
                <w:lang w:val="sq-AL"/>
              </w:rPr>
            </w:pPr>
            <w:r w:rsidRPr="00E5417B">
              <w:rPr>
                <w:rFonts w:ascii="Times New Roman" w:hAnsi="Times New Roman" w:cs="Times New Roman"/>
                <w:noProof/>
                <w:color w:val="000000"/>
                <w:sz w:val="24"/>
                <w:szCs w:val="24"/>
                <w:lang w:val="sq-AL"/>
              </w:rPr>
              <w:t>Drejtoria e Statistikave Ekonomike, Sektori i Statistikave Strukturore</w:t>
            </w:r>
          </w:p>
        </w:tc>
      </w:tr>
      <w:tr w:rsidR="00B15F7B" w:rsidRPr="00430D9B"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 Personi i kontaktit</w:t>
            </w:r>
          </w:p>
        </w:tc>
        <w:tc>
          <w:tcPr>
            <w:tcW w:w="7953" w:type="dxa"/>
            <w:shd w:val="clear" w:color="auto" w:fill="auto"/>
            <w:noWrap/>
            <w:vAlign w:val="center"/>
            <w:hideMark/>
          </w:tcPr>
          <w:p w:rsidR="00247A56" w:rsidRPr="00095639" w:rsidRDefault="00E5417B" w:rsidP="003050CD">
            <w:pPr>
              <w:spacing w:before="240" w:after="240" w:line="240" w:lineRule="auto"/>
              <w:ind w:left="101" w:right="86"/>
              <w:jc w:val="both"/>
              <w:rPr>
                <w:rFonts w:ascii="Times New Roman" w:hAnsi="Times New Roman" w:cs="Times New Roman"/>
                <w:noProof/>
                <w:color w:val="000000"/>
                <w:sz w:val="24"/>
                <w:szCs w:val="24"/>
                <w:lang w:val="sq-AL"/>
              </w:rPr>
            </w:pPr>
            <w:r w:rsidRPr="00E5417B">
              <w:rPr>
                <w:rFonts w:ascii="Times New Roman" w:hAnsi="Times New Roman" w:cs="Times New Roman"/>
                <w:noProof/>
                <w:color w:val="000000"/>
                <w:sz w:val="24"/>
                <w:szCs w:val="24"/>
                <w:lang w:val="sq-AL"/>
              </w:rPr>
              <w:t>Emira Palushi</w:t>
            </w:r>
          </w:p>
        </w:tc>
      </w:tr>
      <w:tr w:rsidR="00B15F7B" w:rsidRPr="00430D9B"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1.4. Funksioni i personit të kontaktit</w:t>
            </w:r>
          </w:p>
        </w:tc>
        <w:tc>
          <w:tcPr>
            <w:tcW w:w="7953" w:type="dxa"/>
            <w:shd w:val="clear" w:color="auto" w:fill="auto"/>
            <w:noWrap/>
            <w:vAlign w:val="center"/>
            <w:hideMark/>
          </w:tcPr>
          <w:p w:rsidR="00247A56" w:rsidRPr="00095639" w:rsidRDefault="00E5417B" w:rsidP="003050CD">
            <w:pPr>
              <w:spacing w:before="240" w:after="240" w:line="240" w:lineRule="auto"/>
              <w:ind w:left="101" w:right="86"/>
              <w:jc w:val="both"/>
              <w:rPr>
                <w:rFonts w:ascii="Times New Roman" w:hAnsi="Times New Roman" w:cs="Times New Roman"/>
                <w:noProof/>
                <w:color w:val="000000"/>
                <w:sz w:val="24"/>
                <w:szCs w:val="24"/>
                <w:lang w:val="sq-AL"/>
              </w:rPr>
            </w:pPr>
            <w:r w:rsidRPr="00E5417B">
              <w:rPr>
                <w:rFonts w:ascii="Times New Roman" w:hAnsi="Times New Roman" w:cs="Times New Roman"/>
                <w:noProof/>
                <w:color w:val="000000"/>
                <w:sz w:val="24"/>
                <w:szCs w:val="24"/>
                <w:lang w:val="sq-AL"/>
              </w:rPr>
              <w:t>Përgjegjës Sektori</w:t>
            </w:r>
          </w:p>
        </w:tc>
      </w:tr>
      <w:tr w:rsidR="00B15F7B" w:rsidRPr="00430D9B"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 Adresa postare</w:t>
            </w:r>
          </w:p>
        </w:tc>
        <w:tc>
          <w:tcPr>
            <w:tcW w:w="7953" w:type="dxa"/>
            <w:shd w:val="clear" w:color="auto" w:fill="auto"/>
            <w:noWrap/>
            <w:vAlign w:val="center"/>
            <w:hideMark/>
          </w:tcPr>
          <w:p w:rsidR="00247A56" w:rsidRPr="00095639" w:rsidRDefault="00E5417B" w:rsidP="003050CD">
            <w:pPr>
              <w:spacing w:before="240" w:after="240" w:line="240" w:lineRule="auto"/>
              <w:ind w:left="101" w:right="86"/>
              <w:jc w:val="both"/>
              <w:rPr>
                <w:rFonts w:ascii="Times New Roman" w:hAnsi="Times New Roman" w:cs="Times New Roman"/>
                <w:noProof/>
                <w:color w:val="000000"/>
                <w:sz w:val="24"/>
                <w:szCs w:val="24"/>
                <w:lang w:val="sq-AL"/>
              </w:rPr>
            </w:pPr>
            <w:r w:rsidRPr="00E5417B">
              <w:rPr>
                <w:rFonts w:ascii="Times New Roman" w:hAnsi="Times New Roman" w:cs="Times New Roman"/>
                <w:noProof/>
                <w:color w:val="000000"/>
                <w:sz w:val="24"/>
                <w:szCs w:val="24"/>
                <w:lang w:val="sq-AL"/>
              </w:rPr>
              <w:t>Rr. Vllazen Huta,Nd.35, H.1 Njesia Administrative Nr.2,1017 Tirane.</w:t>
            </w:r>
          </w:p>
        </w:tc>
      </w:tr>
      <w:tr w:rsidR="00B15F7B" w:rsidRPr="00430D9B"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1.6. Adresa elektronike (e-mail)</w:t>
            </w:r>
          </w:p>
        </w:tc>
        <w:tc>
          <w:tcPr>
            <w:tcW w:w="7953" w:type="dxa"/>
            <w:shd w:val="clear" w:color="auto" w:fill="auto"/>
            <w:noWrap/>
            <w:vAlign w:val="center"/>
            <w:hideMark/>
          </w:tcPr>
          <w:p w:rsidR="00ED001C" w:rsidRPr="00095639" w:rsidRDefault="000C739E" w:rsidP="00ED001C">
            <w:pPr>
              <w:spacing w:before="240" w:after="240" w:line="240" w:lineRule="auto"/>
              <w:ind w:left="101" w:right="86"/>
              <w:jc w:val="both"/>
              <w:rPr>
                <w:rFonts w:ascii="Times New Roman" w:hAnsi="Times New Roman" w:cs="Times New Roman"/>
                <w:noProof/>
                <w:color w:val="000000" w:themeColor="text1"/>
                <w:sz w:val="24"/>
                <w:szCs w:val="24"/>
                <w:lang w:val="sq-AL"/>
              </w:rPr>
            </w:pPr>
            <w:hyperlink r:id="rId9" w:history="1">
              <w:r w:rsidR="00ED001C" w:rsidRPr="00E365C0">
                <w:rPr>
                  <w:rStyle w:val="Hyperlink"/>
                  <w:rFonts w:ascii="Times New Roman" w:hAnsi="Times New Roman" w:cs="Times New Roman"/>
                  <w:noProof/>
                  <w:sz w:val="24"/>
                  <w:szCs w:val="24"/>
                  <w:lang w:val="sq-AL"/>
                </w:rPr>
                <w:t>epalushi@instat.gov.al</w:t>
              </w:r>
            </w:hyperlink>
          </w:p>
        </w:tc>
      </w:tr>
      <w:tr w:rsidR="00B15F7B" w:rsidRPr="00430D9B"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 Numri i telefonit</w:t>
            </w:r>
          </w:p>
        </w:tc>
        <w:tc>
          <w:tcPr>
            <w:tcW w:w="7953" w:type="dxa"/>
            <w:shd w:val="clear" w:color="auto" w:fill="auto"/>
            <w:noWrap/>
            <w:vAlign w:val="center"/>
            <w:hideMark/>
          </w:tcPr>
          <w:p w:rsidR="00247A56" w:rsidRPr="00095639" w:rsidRDefault="00E5417B" w:rsidP="003050CD">
            <w:pPr>
              <w:spacing w:before="240" w:after="240" w:line="240" w:lineRule="auto"/>
              <w:ind w:left="101" w:right="86"/>
              <w:jc w:val="both"/>
              <w:rPr>
                <w:rFonts w:ascii="Times New Roman" w:hAnsi="Times New Roman" w:cs="Times New Roman"/>
                <w:noProof/>
                <w:color w:val="000000" w:themeColor="text1"/>
                <w:sz w:val="24"/>
                <w:szCs w:val="24"/>
                <w:lang w:val="sq-AL"/>
              </w:rPr>
            </w:pPr>
            <w:r w:rsidRPr="00E5417B">
              <w:rPr>
                <w:rFonts w:ascii="Times New Roman" w:hAnsi="Times New Roman" w:cs="Times New Roman"/>
                <w:noProof/>
                <w:color w:val="000000" w:themeColor="text1"/>
                <w:sz w:val="24"/>
                <w:szCs w:val="24"/>
                <w:lang w:val="sq-AL"/>
              </w:rPr>
              <w:t>+(355) 4 233356 / 233/ 240</w:t>
            </w:r>
          </w:p>
        </w:tc>
      </w:tr>
      <w:tr w:rsidR="00B15F7B" w:rsidRPr="00430D9B" w:rsidTr="004767F6">
        <w:trPr>
          <w:trHeight w:val="613"/>
        </w:trPr>
        <w:tc>
          <w:tcPr>
            <w:tcW w:w="2453"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 Numri i faksit</w:t>
            </w:r>
          </w:p>
        </w:tc>
        <w:tc>
          <w:tcPr>
            <w:tcW w:w="7953" w:type="dxa"/>
            <w:shd w:val="clear" w:color="auto" w:fill="auto"/>
            <w:noWrap/>
            <w:vAlign w:val="center"/>
            <w:hideMark/>
          </w:tcPr>
          <w:p w:rsidR="00247A56" w:rsidRPr="00095639" w:rsidRDefault="00E5417B" w:rsidP="003050CD">
            <w:pPr>
              <w:spacing w:before="240" w:after="240" w:line="240" w:lineRule="auto"/>
              <w:ind w:left="101" w:right="86"/>
              <w:jc w:val="both"/>
              <w:rPr>
                <w:rFonts w:ascii="Times New Roman" w:hAnsi="Times New Roman" w:cs="Times New Roman"/>
                <w:noProof/>
                <w:color w:val="000000"/>
                <w:sz w:val="24"/>
                <w:szCs w:val="24"/>
                <w:lang w:val="sq-AL"/>
              </w:rPr>
            </w:pPr>
            <w:r w:rsidRPr="00E5417B">
              <w:rPr>
                <w:rFonts w:ascii="Times New Roman" w:hAnsi="Times New Roman" w:cs="Times New Roman"/>
                <w:noProof/>
                <w:color w:val="000000"/>
                <w:sz w:val="24"/>
                <w:szCs w:val="24"/>
                <w:lang w:val="sq-AL"/>
              </w:rPr>
              <w:t>+(355) 4 2228300</w:t>
            </w:r>
          </w:p>
        </w:tc>
      </w:tr>
      <w:tr w:rsidR="00247A56" w:rsidRPr="00430D9B" w:rsidTr="004767F6">
        <w:trPr>
          <w:trHeight w:val="613"/>
        </w:trPr>
        <w:tc>
          <w:tcPr>
            <w:tcW w:w="10406" w:type="dxa"/>
            <w:gridSpan w:val="2"/>
            <w:shd w:val="clear" w:color="auto" w:fill="FBD4B4" w:themeFill="accent6" w:themeFillTint="66"/>
            <w:noWrap/>
            <w:vAlign w:val="center"/>
            <w:hideMark/>
          </w:tcPr>
          <w:p w:rsidR="00247A56" w:rsidRPr="00095639" w:rsidRDefault="00247A56" w:rsidP="00430D9B">
            <w:pPr>
              <w:pStyle w:val="Heading1"/>
              <w:spacing w:before="0"/>
              <w:rPr>
                <w:rFonts w:ascii="Times New Roman" w:eastAsia="Times New Roman" w:hAnsi="Times New Roman" w:cs="Times New Roman"/>
                <w:bCs w:val="0"/>
                <w:noProof/>
                <w:color w:val="000000"/>
                <w:sz w:val="24"/>
                <w:szCs w:val="24"/>
                <w:lang w:val="sq-AL" w:eastAsia="sq-AL"/>
              </w:rPr>
            </w:pPr>
            <w:bookmarkStart w:id="1" w:name="_Toc64358754"/>
            <w:r w:rsidRPr="00095639">
              <w:rPr>
                <w:rFonts w:ascii="Times New Roman" w:eastAsia="Times New Roman" w:hAnsi="Times New Roman" w:cs="Times New Roman"/>
                <w:noProof/>
                <w:color w:val="000000" w:themeColor="text1"/>
                <w:sz w:val="24"/>
                <w:szCs w:val="24"/>
                <w:lang w:val="sq-AL" w:eastAsia="sq-AL"/>
              </w:rPr>
              <w:t>2. Përditësimi i metadatave</w:t>
            </w:r>
            <w:bookmarkEnd w:id="1"/>
          </w:p>
        </w:tc>
      </w:tr>
      <w:tr w:rsidR="00B15F7B" w:rsidRPr="00430D9B" w:rsidTr="004767F6">
        <w:trPr>
          <w:trHeight w:val="613"/>
        </w:trPr>
        <w:tc>
          <w:tcPr>
            <w:tcW w:w="2453" w:type="dxa"/>
            <w:shd w:val="clear" w:color="auto" w:fill="FFFFCC"/>
            <w:noWrap/>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2.1. Çertifikimi i fundit i metadatës</w:t>
            </w:r>
          </w:p>
        </w:tc>
        <w:tc>
          <w:tcPr>
            <w:tcW w:w="7953" w:type="dxa"/>
            <w:shd w:val="clear" w:color="auto" w:fill="auto"/>
            <w:noWrap/>
            <w:vAlign w:val="center"/>
            <w:hideMark/>
          </w:tcPr>
          <w:p w:rsidR="00247A56" w:rsidRPr="00E9472A" w:rsidRDefault="00AE2524" w:rsidP="008460BF">
            <w:pPr>
              <w:spacing w:before="240" w:after="240" w:line="240" w:lineRule="auto"/>
              <w:ind w:left="101" w:right="86"/>
              <w:jc w:val="both"/>
              <w:rPr>
                <w:rFonts w:ascii="Times New Roman" w:hAnsi="Times New Roman" w:cs="Times New Roman"/>
                <w:noProof/>
                <w:color w:val="000000"/>
                <w:sz w:val="24"/>
                <w:szCs w:val="24"/>
                <w:lang w:val="sq-AL"/>
              </w:rPr>
            </w:pPr>
            <w:r w:rsidRPr="00E9472A">
              <w:rPr>
                <w:rFonts w:ascii="Times New Roman" w:hAnsi="Times New Roman" w:cs="Times New Roman"/>
                <w:noProof/>
                <w:color w:val="000000"/>
                <w:sz w:val="24"/>
                <w:szCs w:val="24"/>
                <w:lang w:val="sq-AL"/>
              </w:rPr>
              <w:t>15.02.2021</w:t>
            </w:r>
          </w:p>
        </w:tc>
      </w:tr>
      <w:tr w:rsidR="00B15F7B" w:rsidRPr="00430D9B" w:rsidTr="004767F6">
        <w:trPr>
          <w:trHeight w:val="613"/>
        </w:trPr>
        <w:tc>
          <w:tcPr>
            <w:tcW w:w="2453" w:type="dxa"/>
            <w:shd w:val="clear" w:color="auto" w:fill="FFFFCC"/>
            <w:noWrap/>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2.2. Publikimi i fundit i metadatës</w:t>
            </w:r>
          </w:p>
        </w:tc>
        <w:tc>
          <w:tcPr>
            <w:tcW w:w="7953" w:type="dxa"/>
            <w:shd w:val="clear" w:color="auto" w:fill="auto"/>
            <w:noWrap/>
            <w:vAlign w:val="center"/>
            <w:hideMark/>
          </w:tcPr>
          <w:p w:rsidR="00247A56" w:rsidRPr="00E9472A" w:rsidRDefault="00AE2524" w:rsidP="003050CD">
            <w:pPr>
              <w:spacing w:before="240" w:after="240" w:line="240" w:lineRule="auto"/>
              <w:ind w:left="101" w:right="86"/>
              <w:jc w:val="both"/>
              <w:rPr>
                <w:rFonts w:ascii="Times New Roman" w:hAnsi="Times New Roman" w:cs="Times New Roman"/>
                <w:noProof/>
                <w:color w:val="000000"/>
                <w:sz w:val="24"/>
                <w:szCs w:val="24"/>
                <w:lang w:val="sq-AL"/>
              </w:rPr>
            </w:pPr>
            <w:r w:rsidRPr="00E9472A">
              <w:rPr>
                <w:rFonts w:ascii="Times New Roman" w:hAnsi="Times New Roman" w:cs="Times New Roman"/>
                <w:noProof/>
                <w:color w:val="000000"/>
                <w:sz w:val="24"/>
                <w:szCs w:val="24"/>
                <w:lang w:val="sq-AL"/>
              </w:rPr>
              <w:t>14.02.2020</w:t>
            </w:r>
          </w:p>
        </w:tc>
      </w:tr>
      <w:tr w:rsidR="00B15F7B" w:rsidRPr="00430D9B" w:rsidTr="004767F6">
        <w:trPr>
          <w:trHeight w:val="613"/>
        </w:trPr>
        <w:tc>
          <w:tcPr>
            <w:tcW w:w="2453" w:type="dxa"/>
            <w:shd w:val="clear" w:color="auto" w:fill="FFFFCC"/>
            <w:noWrap/>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2.3. Përditësimi i fundit i metadatës</w:t>
            </w:r>
          </w:p>
        </w:tc>
        <w:tc>
          <w:tcPr>
            <w:tcW w:w="7953" w:type="dxa"/>
            <w:shd w:val="clear" w:color="auto" w:fill="auto"/>
            <w:noWrap/>
            <w:vAlign w:val="center"/>
            <w:hideMark/>
          </w:tcPr>
          <w:p w:rsidR="00247A56" w:rsidRPr="00E9472A" w:rsidRDefault="00AE2524" w:rsidP="003050CD">
            <w:pPr>
              <w:spacing w:before="240" w:after="240" w:line="240" w:lineRule="auto"/>
              <w:ind w:left="101" w:right="86"/>
              <w:jc w:val="both"/>
              <w:rPr>
                <w:rFonts w:ascii="Times New Roman" w:hAnsi="Times New Roman" w:cs="Times New Roman"/>
                <w:noProof/>
                <w:color w:val="000000"/>
                <w:sz w:val="24"/>
                <w:szCs w:val="24"/>
                <w:lang w:val="sq-AL"/>
              </w:rPr>
            </w:pPr>
            <w:r w:rsidRPr="00E9472A">
              <w:rPr>
                <w:rFonts w:ascii="Times New Roman" w:hAnsi="Times New Roman" w:cs="Times New Roman"/>
                <w:noProof/>
                <w:color w:val="000000"/>
                <w:sz w:val="24"/>
                <w:szCs w:val="24"/>
                <w:lang w:val="sq-AL"/>
              </w:rPr>
              <w:t>15.02.2021</w:t>
            </w:r>
          </w:p>
        </w:tc>
      </w:tr>
      <w:tr w:rsidR="00247A56" w:rsidRPr="00430D9B" w:rsidTr="004767F6">
        <w:trPr>
          <w:trHeight w:val="613"/>
        </w:trPr>
        <w:tc>
          <w:tcPr>
            <w:tcW w:w="10406" w:type="dxa"/>
            <w:gridSpan w:val="2"/>
            <w:shd w:val="clear" w:color="auto" w:fill="FBD4B4" w:themeFill="accent6" w:themeFillTint="66"/>
            <w:noWrap/>
            <w:vAlign w:val="center"/>
            <w:hideMark/>
          </w:tcPr>
          <w:p w:rsidR="00247A56" w:rsidRPr="00430D9B"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64358755"/>
            <w:r w:rsidRPr="00430D9B">
              <w:rPr>
                <w:rFonts w:ascii="Times New Roman" w:eastAsia="Times New Roman" w:hAnsi="Times New Roman" w:cs="Times New Roman"/>
                <w:noProof/>
                <w:color w:val="000000" w:themeColor="text1"/>
                <w:sz w:val="24"/>
                <w:szCs w:val="24"/>
                <w:lang w:val="sq-AL" w:eastAsia="sq-AL"/>
              </w:rPr>
              <w:t>3. Paraqitja statistikore</w:t>
            </w:r>
            <w:bookmarkEnd w:id="2"/>
          </w:p>
        </w:tc>
      </w:tr>
      <w:tr w:rsidR="00E43898" w:rsidRPr="00DE4BE4" w:rsidTr="004767F6">
        <w:trPr>
          <w:trHeight w:val="608"/>
        </w:trPr>
        <w:tc>
          <w:tcPr>
            <w:tcW w:w="2453" w:type="dxa"/>
            <w:shd w:val="clear" w:color="auto" w:fill="FFFFCC"/>
            <w:noWrap/>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3.1. Përshkrimi i të dhënave</w:t>
            </w:r>
          </w:p>
        </w:tc>
        <w:tc>
          <w:tcPr>
            <w:tcW w:w="7953" w:type="dxa"/>
            <w:shd w:val="clear" w:color="auto" w:fill="auto"/>
            <w:vAlign w:val="center"/>
          </w:tcPr>
          <w:p w:rsidR="00E43898" w:rsidRPr="003050CD" w:rsidRDefault="00E5417B" w:rsidP="00BC430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 xml:space="preserve">Qëllimi kryesor i statistikave strukturore të ndërmarrjeve është të tregojë strukturën e aktiviteteve ekonomike të </w:t>
            </w:r>
            <w:r w:rsidR="00BC4306">
              <w:rPr>
                <w:rFonts w:ascii="Times New Roman" w:hAnsi="Times New Roman" w:cs="Times New Roman"/>
                <w:sz w:val="24"/>
                <w:szCs w:val="24"/>
                <w:lang w:val="sq-AL"/>
              </w:rPr>
              <w:t>ndërmarrjeve</w:t>
            </w:r>
            <w:r w:rsidRPr="00ED76AA">
              <w:rPr>
                <w:rFonts w:ascii="Times New Roman" w:hAnsi="Times New Roman" w:cs="Times New Roman"/>
                <w:sz w:val="24"/>
                <w:szCs w:val="24"/>
                <w:lang w:val="sq-AL"/>
              </w:rPr>
              <w:t>. Sektori i ndërmarrjeve përfshin të gjitha ndërmarrjet që prodhojnë mallra dhe shërbime për treg. Statistikat strukturore të ndërmarrjeve japin një përshkrim të strukturës ekonomiko-financiare të ekonomisë nëpërmjet vrojtimit të aktiviteteve të njësive të angazhuara në një aktivitet ekonomik. Përcaktimi i prioriteteve bëhet në përputhje me Rregulloren e Këshillit, (EC, Euratom) No.58/97, 20 Dhjetor 1996, e amenduar me Rregulloren e Këshillit Europian, Nr 295/2008 lidhur me Statistikat Strukturore të Ndërmarrjeve. Këto statistika i shërbejnë më së miri të gjithë komunitetit të biznesit, politikë-bërësve si edhe akademikëve për të kryer analiza të detajuara të strukturës ekonomike në vend.</w:t>
            </w:r>
          </w:p>
        </w:tc>
      </w:tr>
      <w:tr w:rsidR="00E43898" w:rsidRPr="00DE4BE4" w:rsidTr="004767F6">
        <w:trPr>
          <w:trHeight w:val="608"/>
        </w:trPr>
        <w:tc>
          <w:tcPr>
            <w:tcW w:w="2453" w:type="dxa"/>
            <w:shd w:val="clear" w:color="auto" w:fill="FFFFCC"/>
            <w:noWrap/>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3.2. Sistemi i klasifikimit</w:t>
            </w:r>
          </w:p>
        </w:tc>
        <w:tc>
          <w:tcPr>
            <w:tcW w:w="7953" w:type="dxa"/>
            <w:shd w:val="clear" w:color="auto" w:fill="auto"/>
            <w:vAlign w:val="center"/>
          </w:tcPr>
          <w:p w:rsidR="00626614" w:rsidRPr="00ED76AA" w:rsidRDefault="00E5417B" w:rsidP="003C4532">
            <w:pPr>
              <w:spacing w:before="240" w:after="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sz w:val="24"/>
                <w:szCs w:val="24"/>
                <w:lang w:val="sq-AL"/>
              </w:rPr>
              <w:t xml:space="preserve">Klasifikimi i përdorur për statistikat strukturore të ndërmarrjeve është </w:t>
            </w:r>
            <w:r w:rsidRPr="00ED76AA">
              <w:rPr>
                <w:rFonts w:ascii="Times New Roman" w:hAnsi="Times New Roman" w:cs="Times New Roman"/>
                <w:sz w:val="24"/>
                <w:szCs w:val="24"/>
                <w:lang w:val="sq-AL"/>
              </w:rPr>
              <w:lastRenderedPageBreak/>
              <w:t xml:space="preserve">Klasifikimi Statistikor i Aktiviteteve Ekonomike (NVE). Të dhënat janë prodhuar në nivel vendi, të detajuara sipas aktivitetit ekonomik të grupuar në nivel dy shifror të kësaj nomenklature. Deri në vitin 2012, të dhënat janë </w:t>
            </w:r>
            <w:r w:rsidR="00BC4306">
              <w:rPr>
                <w:rFonts w:ascii="Times New Roman" w:hAnsi="Times New Roman" w:cs="Times New Roman"/>
                <w:sz w:val="24"/>
                <w:szCs w:val="24"/>
                <w:lang w:val="sq-AL"/>
              </w:rPr>
              <w:t xml:space="preserve">mbledhur dhe </w:t>
            </w:r>
            <w:r w:rsidRPr="00ED76AA">
              <w:rPr>
                <w:rFonts w:ascii="Times New Roman" w:hAnsi="Times New Roman" w:cs="Times New Roman"/>
                <w:sz w:val="24"/>
                <w:szCs w:val="24"/>
                <w:lang w:val="sq-AL"/>
              </w:rPr>
              <w:t xml:space="preserve">publikuar duke përdorur NVE Rev.1.1. Duke filluar nga viti referencë 2013, të dhënat janë </w:t>
            </w:r>
            <w:r w:rsidR="00BC4306">
              <w:rPr>
                <w:rFonts w:ascii="Times New Roman" w:hAnsi="Times New Roman" w:cs="Times New Roman"/>
                <w:sz w:val="24"/>
                <w:szCs w:val="24"/>
                <w:lang w:val="sq-AL"/>
              </w:rPr>
              <w:t xml:space="preserve">mbledhur dhe </w:t>
            </w:r>
            <w:r w:rsidRPr="00ED76AA">
              <w:rPr>
                <w:rFonts w:ascii="Times New Roman" w:hAnsi="Times New Roman" w:cs="Times New Roman"/>
                <w:sz w:val="24"/>
                <w:szCs w:val="24"/>
                <w:lang w:val="sq-AL"/>
              </w:rPr>
              <w:t>publikuar në NVE Rev.2</w:t>
            </w:r>
            <w:r w:rsidR="00BC4306">
              <w:rPr>
                <w:rFonts w:ascii="Times New Roman" w:hAnsi="Times New Roman" w:cs="Times New Roman"/>
                <w:sz w:val="24"/>
                <w:szCs w:val="24"/>
                <w:lang w:val="sq-AL"/>
              </w:rPr>
              <w:t>.</w:t>
            </w:r>
            <w:r w:rsidRPr="00ED76AA">
              <w:rPr>
                <w:rFonts w:ascii="Times New Roman" w:hAnsi="Times New Roman" w:cs="Times New Roman"/>
                <w:sz w:val="24"/>
                <w:szCs w:val="24"/>
                <w:lang w:val="sq-AL"/>
              </w:rPr>
              <w:t xml:space="preserve"> </w:t>
            </w:r>
            <w:r w:rsidR="00BC4306">
              <w:rPr>
                <w:rFonts w:ascii="Times New Roman" w:hAnsi="Times New Roman" w:cs="Times New Roman"/>
                <w:sz w:val="24"/>
                <w:szCs w:val="24"/>
                <w:lang w:val="sq-AL"/>
              </w:rPr>
              <w:t xml:space="preserve">Për </w:t>
            </w:r>
            <w:r w:rsidRPr="00ED76AA">
              <w:rPr>
                <w:rFonts w:ascii="Times New Roman" w:hAnsi="Times New Roman" w:cs="Times New Roman"/>
                <w:sz w:val="24"/>
                <w:szCs w:val="24"/>
                <w:lang w:val="sq-AL"/>
              </w:rPr>
              <w:t xml:space="preserve"> viti</w:t>
            </w:r>
            <w:r w:rsidR="00BC4306">
              <w:rPr>
                <w:rFonts w:ascii="Times New Roman" w:hAnsi="Times New Roman" w:cs="Times New Roman"/>
                <w:sz w:val="24"/>
                <w:szCs w:val="24"/>
                <w:lang w:val="sq-AL"/>
              </w:rPr>
              <w:t>n</w:t>
            </w:r>
            <w:r w:rsidRPr="00ED76AA">
              <w:rPr>
                <w:rFonts w:ascii="Times New Roman" w:hAnsi="Times New Roman" w:cs="Times New Roman"/>
                <w:sz w:val="24"/>
                <w:szCs w:val="24"/>
                <w:lang w:val="sq-AL"/>
              </w:rPr>
              <w:t xml:space="preserve"> referencë 2010</w:t>
            </w:r>
            <w:r w:rsidR="00BC4306">
              <w:rPr>
                <w:rFonts w:ascii="Times New Roman" w:hAnsi="Times New Roman" w:cs="Times New Roman"/>
                <w:sz w:val="24"/>
                <w:szCs w:val="24"/>
                <w:lang w:val="sq-AL"/>
              </w:rPr>
              <w:t>-2012</w:t>
            </w:r>
            <w:r w:rsidRPr="00ED76AA">
              <w:rPr>
                <w:rFonts w:ascii="Times New Roman" w:hAnsi="Times New Roman" w:cs="Times New Roman"/>
                <w:sz w:val="24"/>
                <w:szCs w:val="24"/>
                <w:lang w:val="sq-AL"/>
              </w:rPr>
              <w:t>, është kryer kodifikimi i dyfishtë, në NVE Rev.1.1 dhe NVE Rev.2. Një gamë e gjerë e klasifikimeve statistikore përdoret në statistikat e ndërmarrjeve. Lista e klasifikimeve të përdorura në prodhimin e statistikat struk</w:t>
            </w:r>
            <w:r w:rsidR="00F74E01" w:rsidRPr="00ED76AA">
              <w:rPr>
                <w:rFonts w:ascii="Times New Roman" w:hAnsi="Times New Roman" w:cs="Times New Roman"/>
                <w:sz w:val="24"/>
                <w:szCs w:val="24"/>
                <w:lang w:val="sq-AL"/>
              </w:rPr>
              <w:t>turore të</w:t>
            </w:r>
            <w:r w:rsidR="00725A1E" w:rsidRPr="00ED76AA">
              <w:rPr>
                <w:rFonts w:ascii="Times New Roman" w:hAnsi="Times New Roman" w:cs="Times New Roman"/>
                <w:sz w:val="24"/>
                <w:szCs w:val="24"/>
                <w:lang w:val="sq-AL"/>
              </w:rPr>
              <w:t xml:space="preserve"> ndërmarrjeve është:</w:t>
            </w:r>
          </w:p>
          <w:p w:rsidR="008460BF" w:rsidRDefault="000C739E" w:rsidP="003C4532">
            <w:pPr>
              <w:pStyle w:val="ListParagraph"/>
              <w:numPr>
                <w:ilvl w:val="0"/>
                <w:numId w:val="3"/>
              </w:numPr>
              <w:spacing w:after="240"/>
              <w:ind w:right="86"/>
              <w:jc w:val="both"/>
            </w:pPr>
            <w:hyperlink r:id="rId10" w:history="1">
              <w:proofErr w:type="spellStart"/>
              <w:r w:rsidR="00E5417B" w:rsidRPr="00386AC4">
                <w:rPr>
                  <w:rStyle w:val="Hyperlink"/>
                </w:rPr>
                <w:t>Nomenklatura</w:t>
              </w:r>
              <w:proofErr w:type="spellEnd"/>
              <w:r w:rsidR="00E5417B" w:rsidRPr="00386AC4">
                <w:rPr>
                  <w:rStyle w:val="Hyperlink"/>
                </w:rPr>
                <w:t xml:space="preserve"> e </w:t>
              </w:r>
              <w:proofErr w:type="spellStart"/>
              <w:r w:rsidR="00E5417B" w:rsidRPr="00386AC4">
                <w:rPr>
                  <w:rStyle w:val="Hyperlink"/>
                </w:rPr>
                <w:t>Veprimtarive</w:t>
              </w:r>
              <w:proofErr w:type="spellEnd"/>
              <w:r w:rsidR="00E5417B" w:rsidRPr="00386AC4">
                <w:rPr>
                  <w:rStyle w:val="Hyperlink"/>
                </w:rPr>
                <w:t xml:space="preserve"> </w:t>
              </w:r>
              <w:proofErr w:type="spellStart"/>
              <w:r w:rsidR="00E5417B" w:rsidRPr="00386AC4">
                <w:rPr>
                  <w:rStyle w:val="Hyperlink"/>
                </w:rPr>
                <w:t>Ekonomike</w:t>
              </w:r>
              <w:proofErr w:type="spellEnd"/>
              <w:r w:rsidR="00E5417B" w:rsidRPr="00386AC4">
                <w:rPr>
                  <w:rStyle w:val="Hyperlink"/>
                </w:rPr>
                <w:t xml:space="preserve"> Rev 2</w:t>
              </w:r>
            </w:hyperlink>
            <w:r w:rsidR="00E5417B" w:rsidRPr="00386AC4">
              <w:t xml:space="preserve"> </w:t>
            </w:r>
            <w:r w:rsidR="008460BF" w:rsidRPr="00386AC4">
              <w:t xml:space="preserve">NVE Rev. 2 </w:t>
            </w:r>
          </w:p>
          <w:p w:rsidR="00626614" w:rsidRPr="00386AC4" w:rsidRDefault="000C739E" w:rsidP="002D4799">
            <w:pPr>
              <w:pStyle w:val="ListParagraph"/>
              <w:numPr>
                <w:ilvl w:val="0"/>
                <w:numId w:val="3"/>
              </w:numPr>
              <w:spacing w:before="240" w:after="240"/>
              <w:ind w:right="86"/>
              <w:jc w:val="both"/>
            </w:pPr>
            <w:hyperlink r:id="rId11" w:history="1">
              <w:proofErr w:type="spellStart"/>
              <w:r w:rsidR="00E5417B" w:rsidRPr="00386AC4">
                <w:rPr>
                  <w:rStyle w:val="Hyperlink"/>
                </w:rPr>
                <w:t>Nomenklatura</w:t>
              </w:r>
              <w:proofErr w:type="spellEnd"/>
              <w:r w:rsidR="00E5417B" w:rsidRPr="00386AC4">
                <w:rPr>
                  <w:rStyle w:val="Hyperlink"/>
                </w:rPr>
                <w:t xml:space="preserve"> e </w:t>
              </w:r>
              <w:proofErr w:type="spellStart"/>
              <w:r w:rsidR="00E5417B" w:rsidRPr="00386AC4">
                <w:rPr>
                  <w:rStyle w:val="Hyperlink"/>
                </w:rPr>
                <w:t>Veprimtarive</w:t>
              </w:r>
              <w:proofErr w:type="spellEnd"/>
              <w:r w:rsidR="00E5417B" w:rsidRPr="00386AC4">
                <w:rPr>
                  <w:rStyle w:val="Hyperlink"/>
                </w:rPr>
                <w:t xml:space="preserve"> </w:t>
              </w:r>
              <w:proofErr w:type="spellStart"/>
              <w:r w:rsidR="00E5417B" w:rsidRPr="00386AC4">
                <w:rPr>
                  <w:rStyle w:val="Hyperlink"/>
                </w:rPr>
                <w:t>Ekonomike</w:t>
              </w:r>
              <w:proofErr w:type="spellEnd"/>
              <w:r w:rsidR="00E5417B" w:rsidRPr="00386AC4">
                <w:rPr>
                  <w:rStyle w:val="Hyperlink"/>
                </w:rPr>
                <w:t xml:space="preserve"> Rev 1.1</w:t>
              </w:r>
            </w:hyperlink>
            <w:r w:rsidR="008460BF" w:rsidRPr="00386AC4">
              <w:t xml:space="preserve"> NVE Rev. 1.1 </w:t>
            </w:r>
          </w:p>
          <w:p w:rsidR="008460BF" w:rsidRPr="00ED76AA" w:rsidRDefault="000C739E" w:rsidP="002D4799">
            <w:pPr>
              <w:pStyle w:val="ListParagraph"/>
              <w:numPr>
                <w:ilvl w:val="0"/>
                <w:numId w:val="3"/>
              </w:numPr>
              <w:spacing w:before="240" w:after="240"/>
              <w:ind w:right="86"/>
              <w:jc w:val="both"/>
              <w:rPr>
                <w:lang w:val="de-DE"/>
              </w:rPr>
            </w:pPr>
            <w:hyperlink r:id="rId12" w:history="1">
              <w:r w:rsidR="00E5417B" w:rsidRPr="00ED76AA">
                <w:rPr>
                  <w:rStyle w:val="Hyperlink"/>
                  <w:lang w:val="de-DE"/>
                </w:rPr>
                <w:t>Nomenklatura e Produkteve sipas Aktiviteteve</w:t>
              </w:r>
            </w:hyperlink>
            <w:r w:rsidR="00E5417B" w:rsidRPr="00ED76AA">
              <w:rPr>
                <w:lang w:val="de-DE"/>
              </w:rPr>
              <w:t xml:space="preserve"> (NP 1996) </w:t>
            </w:r>
          </w:p>
          <w:p w:rsidR="00626614" w:rsidRPr="00ED76AA" w:rsidRDefault="000C739E" w:rsidP="002D4799">
            <w:pPr>
              <w:pStyle w:val="ListParagraph"/>
              <w:numPr>
                <w:ilvl w:val="0"/>
                <w:numId w:val="3"/>
              </w:numPr>
              <w:spacing w:before="240" w:after="240"/>
              <w:ind w:right="86"/>
              <w:jc w:val="both"/>
              <w:rPr>
                <w:lang w:val="de-DE"/>
              </w:rPr>
            </w:pPr>
            <w:hyperlink r:id="rId13" w:history="1">
              <w:r w:rsidR="00E5417B" w:rsidRPr="00ED76AA">
                <w:rPr>
                  <w:rStyle w:val="Hyperlink"/>
                  <w:lang w:val="de-DE"/>
                </w:rPr>
                <w:t>Nomenklatura e Produkteve sipas Aktiviteteve</w:t>
              </w:r>
            </w:hyperlink>
            <w:r w:rsidR="00E5417B" w:rsidRPr="00ED76AA">
              <w:rPr>
                <w:lang w:val="de-DE"/>
              </w:rPr>
              <w:t xml:space="preserve">, në versionin anglisht (NP 2008) </w:t>
            </w:r>
          </w:p>
          <w:p w:rsidR="00626614" w:rsidRPr="00ED76AA" w:rsidRDefault="00E5417B" w:rsidP="002D4799">
            <w:pPr>
              <w:pStyle w:val="ListParagraph"/>
              <w:numPr>
                <w:ilvl w:val="0"/>
                <w:numId w:val="3"/>
              </w:numPr>
              <w:spacing w:before="240" w:after="240"/>
              <w:ind w:right="86"/>
              <w:jc w:val="both"/>
              <w:rPr>
                <w:lang w:val="de-DE"/>
              </w:rPr>
            </w:pPr>
            <w:r w:rsidRPr="00ED76AA">
              <w:rPr>
                <w:lang w:val="de-DE"/>
              </w:rPr>
              <w:t>Rekomandimi i BE-së Nr. 2003/361 në lidhje me përkufizimet e ndërmarrje</w:t>
            </w:r>
            <w:r w:rsidR="00EC40EB" w:rsidRPr="00ED76AA">
              <w:rPr>
                <w:lang w:val="de-DE"/>
              </w:rPr>
              <w:t>ve mikro, të vogla dhe të mesme.</w:t>
            </w:r>
          </w:p>
          <w:p w:rsidR="00626614" w:rsidRPr="00ED76AA" w:rsidRDefault="00E5417B" w:rsidP="002D4799">
            <w:pPr>
              <w:pStyle w:val="ListParagraph"/>
              <w:numPr>
                <w:ilvl w:val="0"/>
                <w:numId w:val="3"/>
              </w:numPr>
              <w:spacing w:before="240" w:after="240"/>
              <w:ind w:right="86"/>
              <w:jc w:val="both"/>
              <w:rPr>
                <w:lang w:val="de-DE"/>
              </w:rPr>
            </w:pPr>
            <w:r w:rsidRPr="00ED76AA">
              <w:rPr>
                <w:lang w:val="de-DE"/>
              </w:rPr>
              <w:t xml:space="preserve">Ligji Nr. 8957, datë 17.10.2002, “Për ndërmarrjet e vogla dhe të mesme” </w:t>
            </w:r>
          </w:p>
          <w:p w:rsidR="00E43898" w:rsidRPr="00386AC4" w:rsidRDefault="00E5417B" w:rsidP="002D4799">
            <w:pPr>
              <w:pStyle w:val="ListParagraph"/>
              <w:numPr>
                <w:ilvl w:val="0"/>
                <w:numId w:val="3"/>
              </w:numPr>
              <w:spacing w:before="240" w:after="240"/>
              <w:ind w:right="86"/>
              <w:jc w:val="both"/>
              <w:rPr>
                <w:noProof/>
                <w:color w:val="000000"/>
                <w:lang w:val="sq-AL" w:eastAsia="sq-AL"/>
              </w:rPr>
            </w:pPr>
            <w:r w:rsidRPr="00ED76AA">
              <w:rPr>
                <w:lang w:val="de-DE"/>
              </w:rPr>
              <w:t>Nomenklatura e Njësive Territoriale për Statistikat, NUTS1 dhe NUTS 2 Ndërmarjet janë të klasifikuara sipas madhësisë bazuar në numrin e të punësuarëve</w:t>
            </w:r>
            <w:r w:rsidR="008B3D8E" w:rsidRPr="00ED76AA">
              <w:rPr>
                <w:lang w:val="de-DE"/>
              </w:rPr>
              <w:t xml:space="preserve"> </w:t>
            </w:r>
            <w:r w:rsidRPr="00ED76AA">
              <w:rPr>
                <w:lang w:val="de-DE"/>
              </w:rPr>
              <w:t>(punësuar me kohë të plotë).</w:t>
            </w:r>
          </w:p>
        </w:tc>
      </w:tr>
      <w:tr w:rsidR="00E43898" w:rsidRPr="00DE4BE4" w:rsidTr="004767F6">
        <w:trPr>
          <w:trHeight w:val="608"/>
        </w:trPr>
        <w:tc>
          <w:tcPr>
            <w:tcW w:w="2453"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3.3. Mbulimi i sektorit</w:t>
            </w:r>
          </w:p>
        </w:tc>
        <w:tc>
          <w:tcPr>
            <w:tcW w:w="7953" w:type="dxa"/>
            <w:shd w:val="clear" w:color="auto" w:fill="auto"/>
            <w:vAlign w:val="center"/>
          </w:tcPr>
          <w:p w:rsidR="00E43898" w:rsidRPr="003050CD" w:rsidRDefault="00E5417B" w:rsidP="003050C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Statistikat strukturore të ndërmarrjeve përfshijnë të gjitha ndërmarrjet aktive në Shqipëri, për të gjitha format ligjore. Popullsia është bazuar në ndërmarrjet të cilat, sipas Regjistrit Statistikor të Ndërmarrjeve, ishin aktive në Dhjetor të vitit të referencës dhe ushtrojnë veprimtarinë e tyre në një prej aktiviteteve të mbuluara nga ASN. Statistikat strukturore të ndërmarrjeve mbulojnë ndërmarrjet që operojnë në treg, të cilat bazuar në klasifikimin NVE Rev. 2, kanë aktivitet kryesor në: (B) Industri nxjerrëse, (C) Industri Përpunuese, (D) Furnizimi me Energji Elektrike, Gaz e Avull dhe me Ajër të Kondicionuar, (E) Aktivitetet me ujë të ngrohtë, kanalizimeve, menaxhimit të mbeturinave dhe rregullimit, (F) Ndërtimi, (G) Tregtia me shumicë dhe pakicë. Riparimi i automobilave e motorçikletave, (I) Akomodimi dhe aktivitetet e shërbimit të ushqimit, (H) Transport dhe Magazinim, (J) Informacioni dhe Komunikacioni, (L) Pasuritë e patundëshme, (M) Aktivitetet Profesionale, Shkencore dhe teknike (N) Aktivitetet Administrative dhe Shërbimet mbështetëse, (P) Arsimi, (Q) Shëndetësia dhe veprimtari të tjera sociale, (R) Art, Argëtim dhe zbavitje, (S) Aktivitete të tjera shërbimi (përjashtuar S94).</w:t>
            </w:r>
          </w:p>
        </w:tc>
      </w:tr>
      <w:tr w:rsidR="00E43898" w:rsidRPr="00DE4BE4" w:rsidTr="004767F6">
        <w:trPr>
          <w:trHeight w:val="608"/>
        </w:trPr>
        <w:tc>
          <w:tcPr>
            <w:tcW w:w="2453"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3.4. Koncepte statistikore dhe përkufizime</w:t>
            </w:r>
          </w:p>
        </w:tc>
        <w:tc>
          <w:tcPr>
            <w:tcW w:w="7953" w:type="dxa"/>
            <w:shd w:val="clear" w:color="auto" w:fill="auto"/>
            <w:vAlign w:val="center"/>
          </w:tcPr>
          <w:p w:rsidR="007B4EB2" w:rsidRPr="00ED76AA" w:rsidRDefault="00E5417B" w:rsidP="003C4532">
            <w:pPr>
              <w:spacing w:before="240" w:after="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Treguesit bazë</w:t>
            </w:r>
            <w:r w:rsidRPr="00ED76AA">
              <w:rPr>
                <w:rFonts w:ascii="Times New Roman" w:hAnsi="Times New Roman" w:cs="Times New Roman"/>
                <w:sz w:val="24"/>
                <w:szCs w:val="24"/>
                <w:lang w:val="sq-AL"/>
              </w:rPr>
              <w:t xml:space="preserve"> </w:t>
            </w:r>
          </w:p>
          <w:p w:rsidR="007B4EB2" w:rsidRPr="00ED76AA" w:rsidRDefault="00E5417B" w:rsidP="003C4532">
            <w:pPr>
              <w:spacing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Ndërmarrja</w:t>
            </w:r>
            <w:r w:rsidRPr="00ED76AA">
              <w:rPr>
                <w:rFonts w:ascii="Times New Roman" w:hAnsi="Times New Roman" w:cs="Times New Roman"/>
                <w:sz w:val="24"/>
                <w:szCs w:val="24"/>
                <w:lang w:val="sq-AL"/>
              </w:rPr>
              <w:t xml:space="preserve"> është: "kombinimi më i vogël i njësive ligjore pra një njësi organizative që prodhon të mira apo shërbime që ka një farë autonomie në marrjen e vendimeve, veçanërisht për shpërndarjen e burimeve aktuale të saj. Ndërmarrja kryen një ose me shumë aktivitete në një apo më shumë vendndodhje (njësi lokale)". Marrëdhënia mes një ndërmarrje dhe një njësie ligjore përkufizohet si: "ndërmarrja i korrespondon ose një njësie ligjore ose një kombinimi n</w:t>
            </w:r>
            <w:r w:rsidR="00CE119D" w:rsidRPr="00ED76AA">
              <w:rPr>
                <w:rFonts w:ascii="Times New Roman" w:hAnsi="Times New Roman" w:cs="Times New Roman"/>
                <w:sz w:val="24"/>
                <w:szCs w:val="24"/>
                <w:lang w:val="sq-AL"/>
              </w:rPr>
              <w:t>jësish ligjore".</w:t>
            </w:r>
          </w:p>
          <w:p w:rsidR="007B4EB2" w:rsidRPr="00ED76AA" w:rsidRDefault="00E5417B" w:rsidP="003050CD">
            <w:pPr>
              <w:spacing w:before="240"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Të punësuarit</w:t>
            </w:r>
            <w:r w:rsidRPr="00ED76AA">
              <w:rPr>
                <w:rFonts w:ascii="Times New Roman" w:hAnsi="Times New Roman" w:cs="Times New Roman"/>
                <w:sz w:val="24"/>
                <w:szCs w:val="24"/>
                <w:lang w:val="sq-AL"/>
              </w:rPr>
              <w:t xml:space="preserve"> përfshijnë të gjithë personat që punojnë në ndërmarrje përfshirë pronarët, të punësuarit me pagesë si dhe pjestarët e familjes të papaguar. </w:t>
            </w:r>
          </w:p>
          <w:p w:rsidR="007B4EB2" w:rsidRPr="00ED76AA" w:rsidRDefault="00E5417B" w:rsidP="003050CD">
            <w:pPr>
              <w:spacing w:before="240"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 xml:space="preserve">Shitjet neto </w:t>
            </w:r>
            <w:r w:rsidRPr="00ED76AA">
              <w:rPr>
                <w:rFonts w:ascii="Times New Roman" w:hAnsi="Times New Roman" w:cs="Times New Roman"/>
                <w:sz w:val="24"/>
                <w:szCs w:val="24"/>
                <w:lang w:val="sq-AL"/>
              </w:rPr>
              <w:t xml:space="preserve">përfshijnë shumat e faturuara nga ndërmarrja gjatë periudhës </w:t>
            </w:r>
            <w:r w:rsidRPr="00ED76AA">
              <w:rPr>
                <w:rFonts w:ascii="Times New Roman" w:hAnsi="Times New Roman" w:cs="Times New Roman"/>
                <w:sz w:val="24"/>
                <w:szCs w:val="24"/>
                <w:lang w:val="sq-AL"/>
              </w:rPr>
              <w:lastRenderedPageBreak/>
              <w:t>referuese dhe i korrespondojnë shitjes në treg të të mirave dhe shërbimeve ofruar të tretëve.</w:t>
            </w:r>
          </w:p>
          <w:p w:rsidR="007B4EB2" w:rsidRPr="00ED76AA" w:rsidRDefault="00E5417B" w:rsidP="003050CD">
            <w:pPr>
              <w:spacing w:before="240"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Investimet</w:t>
            </w:r>
            <w:r w:rsidRPr="00ED76AA">
              <w:rPr>
                <w:rFonts w:ascii="Times New Roman" w:hAnsi="Times New Roman" w:cs="Times New Roman"/>
                <w:sz w:val="24"/>
                <w:szCs w:val="24"/>
                <w:lang w:val="sq-AL"/>
              </w:rPr>
              <w:t xml:space="preserve"> gjatë periudhës referuese përfaqësojnë vlerën e mallrave afatgjata të blera prej ndërmarrjeve ose të krijuara për llogari të vet me qëllim përdorimi për një periudhë jo më të vogël se një vit në procesin e prodhimit, përfshirë tokën.</w:t>
            </w:r>
          </w:p>
          <w:p w:rsidR="007B4EB2" w:rsidRPr="00ED76AA" w:rsidRDefault="00E5417B" w:rsidP="003C4532">
            <w:pPr>
              <w:spacing w:before="240" w:after="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Tregues makroekonomikë</w:t>
            </w:r>
            <w:r w:rsidRPr="00ED76AA">
              <w:rPr>
                <w:rFonts w:ascii="Times New Roman" w:hAnsi="Times New Roman" w:cs="Times New Roman"/>
                <w:sz w:val="24"/>
                <w:szCs w:val="24"/>
                <w:lang w:val="sq-AL"/>
              </w:rPr>
              <w:t xml:space="preserve"> </w:t>
            </w:r>
          </w:p>
          <w:p w:rsidR="007B4EB2" w:rsidRPr="00ED76AA" w:rsidRDefault="00E5417B" w:rsidP="003C4532">
            <w:pPr>
              <w:spacing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Prodhimi</w:t>
            </w:r>
            <w:r w:rsidRPr="00ED76AA">
              <w:rPr>
                <w:rFonts w:ascii="Times New Roman" w:hAnsi="Times New Roman" w:cs="Times New Roman"/>
                <w:sz w:val="24"/>
                <w:szCs w:val="24"/>
                <w:lang w:val="sq-AL"/>
              </w:rPr>
              <w:t xml:space="preserve"> është një aktivitet i ushtruar nën kontrollin dhe përgjegjësinë e një njësie institucionale (ndërmarrje) që kombinon burimet e fuqisë punëtore, kapitalit dhe lëndës së parë, për të prodhuar të mira dhe kryer shërbime. Vlera e prodhimit bazohet në: Të ardhurat nga shitja e produkteve dhe shërbimeve (shitjet neto) të krijuara nga vetë ndërmarrja: (±) Ndryshimet e gjendjen së produkteve të gatshme dhe në proces. (±) Ndryshimet në gjendjen e mallrave dhe shërbimeve të blera për rishitje në të njëjtat kushte (-) Blerjet e mallrave dhe shërbimeve për rishitje në të njëjtat kushte (+) Prodhimi i aktiveve të qëndrueshme nga ndërmarrja për llogari të vet (+) Subvencionet. </w:t>
            </w:r>
          </w:p>
          <w:p w:rsidR="007B4EB2" w:rsidRPr="00ED76AA" w:rsidRDefault="00E5417B" w:rsidP="003050CD">
            <w:pPr>
              <w:spacing w:before="240"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b/>
                <w:sz w:val="24"/>
                <w:szCs w:val="24"/>
                <w:lang w:val="sq-AL"/>
              </w:rPr>
              <w:t>Konsumi ndërmjetës</w:t>
            </w:r>
            <w:r w:rsidRPr="00ED76AA">
              <w:rPr>
                <w:rFonts w:ascii="Times New Roman" w:hAnsi="Times New Roman" w:cs="Times New Roman"/>
                <w:sz w:val="24"/>
                <w:szCs w:val="24"/>
                <w:lang w:val="sq-AL"/>
              </w:rPr>
              <w:t xml:space="preserve"> përfaqëson vlerën e produkteve ose shërbimeve të transformuara ose plotësisht të konsumuara gjatë procesit të prodhimit. Përdorimi i aktiveve fikse të vëna në punë nuk përfshihet në vlerën e konsumit ndërmjetës. </w:t>
            </w:r>
          </w:p>
          <w:p w:rsidR="00E43898" w:rsidRPr="003050CD" w:rsidRDefault="00E5417B" w:rsidP="003050C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b/>
                <w:sz w:val="24"/>
                <w:szCs w:val="24"/>
                <w:lang w:val="sq-AL"/>
              </w:rPr>
              <w:t>Vlera e shtuar me çmime bazë</w:t>
            </w:r>
            <w:r w:rsidRPr="00ED76AA">
              <w:rPr>
                <w:rFonts w:ascii="Times New Roman" w:hAnsi="Times New Roman" w:cs="Times New Roman"/>
                <w:sz w:val="24"/>
                <w:szCs w:val="24"/>
                <w:lang w:val="sq-AL"/>
              </w:rPr>
              <w:t xml:space="preserve"> llogaritet si diferencë e vlerës së prodhimit me konsumin ndërmjetës.</w:t>
            </w:r>
          </w:p>
        </w:tc>
      </w:tr>
      <w:tr w:rsidR="00B15F7B" w:rsidRPr="00DE4BE4" w:rsidTr="004767F6">
        <w:trPr>
          <w:trHeight w:val="1128"/>
        </w:trPr>
        <w:tc>
          <w:tcPr>
            <w:tcW w:w="2453" w:type="dxa"/>
            <w:shd w:val="clear" w:color="auto" w:fill="FFFFCC"/>
            <w:vAlign w:val="center"/>
            <w:hideMark/>
          </w:tcPr>
          <w:p w:rsidR="00CD6D1C" w:rsidRPr="00430D9B" w:rsidRDefault="00CD6D1C"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3.5. Njësia statistikore</w:t>
            </w:r>
          </w:p>
        </w:tc>
        <w:tc>
          <w:tcPr>
            <w:tcW w:w="7953" w:type="dxa"/>
            <w:shd w:val="clear" w:color="auto" w:fill="auto"/>
            <w:noWrap/>
            <w:vAlign w:val="center"/>
            <w:hideMark/>
          </w:tcPr>
          <w:p w:rsidR="00CD6D1C" w:rsidRPr="003050CD" w:rsidRDefault="00E5417B" w:rsidP="003050C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Njësia statistikore e synuar dhe e vrojtuar është ndërmarrja. Të dhënat e publikuara sipas aktiviteteve ekonomike dhe madhësisë së ndërmarrjes i referohen ndërmarrjes</w:t>
            </w:r>
            <w:r w:rsidR="00876FAE" w:rsidRPr="00ED76AA">
              <w:rPr>
                <w:rFonts w:ascii="Times New Roman" w:hAnsi="Times New Roman" w:cs="Times New Roman"/>
                <w:sz w:val="24"/>
                <w:szCs w:val="24"/>
                <w:lang w:val="sq-AL"/>
              </w:rPr>
              <w:t>.</w:t>
            </w:r>
          </w:p>
        </w:tc>
      </w:tr>
      <w:tr w:rsidR="00E43898" w:rsidRPr="00430D9B" w:rsidTr="004767F6">
        <w:trPr>
          <w:trHeight w:val="3094"/>
        </w:trPr>
        <w:tc>
          <w:tcPr>
            <w:tcW w:w="2453"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3.6. Popullata statistikore </w:t>
            </w:r>
          </w:p>
        </w:tc>
        <w:tc>
          <w:tcPr>
            <w:tcW w:w="7953" w:type="dxa"/>
            <w:shd w:val="clear" w:color="auto" w:fill="auto"/>
            <w:vAlign w:val="center"/>
          </w:tcPr>
          <w:p w:rsidR="00626614" w:rsidRPr="00ED76AA" w:rsidRDefault="00E5417B" w:rsidP="003C4532">
            <w:pPr>
              <w:spacing w:before="240" w:after="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sz w:val="24"/>
                <w:szCs w:val="24"/>
                <w:lang w:val="sq-AL"/>
              </w:rPr>
              <w:t xml:space="preserve">Statistikat përfshijnë të gjitha ndërmarrjet aktive në Shqipëri, të gjitha formave ligjore. Baza e zgjedhjes janë të gjitha ndërmarrjet ku sipas Regjistrit Statistikor të Ndërmarrjeve (RSN), janë aktive në Dhjetorin e vitit referencë për aktivitet që mbulon ASN duke përjashtuar: </w:t>
            </w:r>
          </w:p>
          <w:p w:rsidR="00626614" w:rsidRPr="00386AC4" w:rsidRDefault="00E5417B" w:rsidP="003C4532">
            <w:pPr>
              <w:pStyle w:val="ListParagraph"/>
              <w:numPr>
                <w:ilvl w:val="0"/>
                <w:numId w:val="2"/>
              </w:numPr>
              <w:spacing w:after="240"/>
              <w:ind w:right="86"/>
              <w:jc w:val="both"/>
            </w:pPr>
            <w:proofErr w:type="spellStart"/>
            <w:r w:rsidRPr="00386AC4">
              <w:t>Njësitë</w:t>
            </w:r>
            <w:proofErr w:type="spellEnd"/>
            <w:r w:rsidRPr="00386AC4">
              <w:t xml:space="preserve"> </w:t>
            </w:r>
            <w:proofErr w:type="spellStart"/>
            <w:r w:rsidRPr="00386AC4">
              <w:t>lokale</w:t>
            </w:r>
            <w:proofErr w:type="spellEnd"/>
            <w:r w:rsidRPr="00386AC4">
              <w:t xml:space="preserve"> </w:t>
            </w:r>
          </w:p>
          <w:p w:rsidR="00626614" w:rsidRPr="00386AC4" w:rsidRDefault="00E5417B" w:rsidP="002D4799">
            <w:pPr>
              <w:pStyle w:val="ListParagraph"/>
              <w:numPr>
                <w:ilvl w:val="0"/>
                <w:numId w:val="2"/>
              </w:numPr>
              <w:spacing w:before="240" w:after="240"/>
              <w:ind w:right="86"/>
              <w:jc w:val="both"/>
            </w:pPr>
            <w:proofErr w:type="spellStart"/>
            <w:r w:rsidRPr="00386AC4">
              <w:t>Ndërmarrjet</w:t>
            </w:r>
            <w:proofErr w:type="spellEnd"/>
            <w:r w:rsidRPr="00386AC4">
              <w:t xml:space="preserve"> </w:t>
            </w:r>
            <w:proofErr w:type="spellStart"/>
            <w:r w:rsidRPr="00386AC4">
              <w:t>që</w:t>
            </w:r>
            <w:proofErr w:type="spellEnd"/>
            <w:r w:rsidRPr="00386AC4">
              <w:t xml:space="preserve"> </w:t>
            </w:r>
            <w:proofErr w:type="spellStart"/>
            <w:r w:rsidRPr="00386AC4">
              <w:t>kanë</w:t>
            </w:r>
            <w:proofErr w:type="spellEnd"/>
            <w:r w:rsidRPr="00386AC4">
              <w:t xml:space="preserve"> </w:t>
            </w:r>
            <w:proofErr w:type="spellStart"/>
            <w:r w:rsidRPr="00386AC4">
              <w:t>kodin</w:t>
            </w:r>
            <w:proofErr w:type="spellEnd"/>
            <w:r w:rsidRPr="00386AC4">
              <w:t xml:space="preserve"> e </w:t>
            </w:r>
            <w:proofErr w:type="spellStart"/>
            <w:r w:rsidRPr="00386AC4">
              <w:t>aktivitetit</w:t>
            </w:r>
            <w:proofErr w:type="spellEnd"/>
            <w:r w:rsidRPr="00386AC4">
              <w:t xml:space="preserve"> </w:t>
            </w:r>
            <w:proofErr w:type="spellStart"/>
            <w:r w:rsidRPr="00386AC4">
              <w:t>ekonomik</w:t>
            </w:r>
            <w:proofErr w:type="spellEnd"/>
            <w:r w:rsidRPr="00386AC4">
              <w:t xml:space="preserve"> </w:t>
            </w:r>
            <w:proofErr w:type="spellStart"/>
            <w:r w:rsidRPr="00386AC4">
              <w:t>kryesor</w:t>
            </w:r>
            <w:proofErr w:type="spellEnd"/>
            <w:r w:rsidRPr="00386AC4">
              <w:t xml:space="preserve"> (NVE) </w:t>
            </w:r>
            <w:proofErr w:type="spellStart"/>
            <w:r w:rsidRPr="00386AC4">
              <w:t>jashtë</w:t>
            </w:r>
            <w:proofErr w:type="spellEnd"/>
            <w:r w:rsidRPr="00386AC4">
              <w:t xml:space="preserve"> </w:t>
            </w:r>
            <w:proofErr w:type="spellStart"/>
            <w:r w:rsidRPr="00386AC4">
              <w:t>qëllimit</w:t>
            </w:r>
            <w:proofErr w:type="spellEnd"/>
            <w:r w:rsidRPr="00386AC4">
              <w:t xml:space="preserve"> të </w:t>
            </w:r>
            <w:proofErr w:type="spellStart"/>
            <w:r w:rsidRPr="00386AC4">
              <w:t>këtij</w:t>
            </w:r>
            <w:proofErr w:type="spellEnd"/>
            <w:r w:rsidRPr="00386AC4">
              <w:t xml:space="preserve"> </w:t>
            </w:r>
            <w:proofErr w:type="spellStart"/>
            <w:r w:rsidRPr="00386AC4">
              <w:t>vrojtimi</w:t>
            </w:r>
            <w:proofErr w:type="spellEnd"/>
            <w:r w:rsidRPr="00386AC4">
              <w:t xml:space="preserve">. </w:t>
            </w:r>
          </w:p>
          <w:p w:rsidR="00E43898" w:rsidRPr="00386AC4" w:rsidRDefault="00E5417B" w:rsidP="002D4799">
            <w:pPr>
              <w:pStyle w:val="ListParagraph"/>
              <w:numPr>
                <w:ilvl w:val="0"/>
                <w:numId w:val="2"/>
              </w:numPr>
              <w:spacing w:before="240" w:after="240"/>
              <w:ind w:right="86"/>
              <w:jc w:val="both"/>
              <w:rPr>
                <w:noProof/>
                <w:color w:val="000000"/>
                <w:lang w:val="sq-AL" w:eastAsia="sq-AL"/>
              </w:rPr>
            </w:pPr>
            <w:proofErr w:type="spellStart"/>
            <w:r w:rsidRPr="00386AC4">
              <w:t>Ndërmarrjet</w:t>
            </w:r>
            <w:proofErr w:type="spellEnd"/>
            <w:r w:rsidRPr="00386AC4">
              <w:t xml:space="preserve"> </w:t>
            </w:r>
            <w:proofErr w:type="spellStart"/>
            <w:r w:rsidRPr="00386AC4">
              <w:t>shtetërore</w:t>
            </w:r>
            <w:proofErr w:type="spellEnd"/>
            <w:r w:rsidRPr="00386AC4">
              <w:t xml:space="preserve"> në </w:t>
            </w:r>
            <w:proofErr w:type="spellStart"/>
            <w:r w:rsidRPr="00386AC4">
              <w:t>aktivitetet</w:t>
            </w:r>
            <w:proofErr w:type="spellEnd"/>
            <w:r w:rsidRPr="00386AC4">
              <w:t xml:space="preserve"> e </w:t>
            </w:r>
            <w:proofErr w:type="spellStart"/>
            <w:r w:rsidRPr="00386AC4">
              <w:t>arsimit</w:t>
            </w:r>
            <w:proofErr w:type="spellEnd"/>
            <w:r w:rsidRPr="00386AC4">
              <w:t xml:space="preserve"> (NVE 85) dhe </w:t>
            </w:r>
            <w:proofErr w:type="spellStart"/>
            <w:r w:rsidRPr="00386AC4">
              <w:t>shëndetësisë</w:t>
            </w:r>
            <w:proofErr w:type="spellEnd"/>
            <w:r w:rsidRPr="00386AC4">
              <w:t xml:space="preserve"> (NVE 86, 87, 88).</w:t>
            </w:r>
          </w:p>
        </w:tc>
      </w:tr>
      <w:tr w:rsidR="00B15F7B" w:rsidRPr="00DE4BE4" w:rsidTr="004767F6">
        <w:trPr>
          <w:trHeight w:val="456"/>
        </w:trPr>
        <w:tc>
          <w:tcPr>
            <w:tcW w:w="2453" w:type="dxa"/>
            <w:shd w:val="clear" w:color="auto" w:fill="FFFFCC"/>
            <w:vAlign w:val="center"/>
            <w:hideMark/>
          </w:tcPr>
          <w:p w:rsidR="00343A0D" w:rsidRPr="00430D9B" w:rsidRDefault="00343A0D"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3.7. Zona e referencës</w:t>
            </w:r>
          </w:p>
        </w:tc>
        <w:tc>
          <w:tcPr>
            <w:tcW w:w="7953" w:type="dxa"/>
            <w:shd w:val="clear" w:color="auto" w:fill="auto"/>
            <w:noWrap/>
            <w:vAlign w:val="center"/>
            <w:hideMark/>
          </w:tcPr>
          <w:p w:rsidR="00343A0D" w:rsidRPr="003050CD" w:rsidRDefault="00E5417B" w:rsidP="003050C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Të dhënat e ASN mbulojnë të gjithë territorin e vendit.</w:t>
            </w:r>
          </w:p>
        </w:tc>
      </w:tr>
      <w:tr w:rsidR="00E43898" w:rsidRPr="00DE4BE4" w:rsidTr="004767F6">
        <w:trPr>
          <w:trHeight w:val="608"/>
        </w:trPr>
        <w:tc>
          <w:tcPr>
            <w:tcW w:w="2453"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3.8. </w:t>
            </w:r>
            <w:r w:rsidRPr="00430D9B">
              <w:rPr>
                <w:rFonts w:ascii="Times New Roman" w:eastAsia="Times New Roman" w:hAnsi="Times New Roman" w:cs="Times New Roman"/>
                <w:noProof/>
                <w:color w:val="000000" w:themeColor="text1"/>
                <w:sz w:val="24"/>
                <w:szCs w:val="24"/>
                <w:lang w:val="sq-AL" w:eastAsia="sq-AL"/>
              </w:rPr>
              <w:t>Mbulimi në kohë</w:t>
            </w:r>
            <w:r w:rsidRPr="00430D9B">
              <w:rPr>
                <w:rFonts w:ascii="Times New Roman" w:eastAsia="Times New Roman" w:hAnsi="Times New Roman" w:cs="Times New Roman"/>
                <w:noProof/>
                <w:color w:val="000000"/>
                <w:sz w:val="24"/>
                <w:szCs w:val="24"/>
                <w:lang w:val="sq-AL" w:eastAsia="sq-AL"/>
              </w:rPr>
              <w:t> </w:t>
            </w:r>
          </w:p>
        </w:tc>
        <w:tc>
          <w:tcPr>
            <w:tcW w:w="7953" w:type="dxa"/>
            <w:shd w:val="clear" w:color="auto" w:fill="auto"/>
            <w:vAlign w:val="center"/>
          </w:tcPr>
          <w:p w:rsidR="00E43898" w:rsidRPr="003050CD" w:rsidRDefault="00E5417B" w:rsidP="003050C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Ky aktivitet statistikor ka filluar në vitin 1998, por vitet e para (deri në 2001) kanë shërbyer si periudhë tranzicioni. Të dhënat janë më të plota dhe të krahasueshme duke filluar nga viti referencë 2002. Deri në vitin referencë 2011, të dhënat janë publikuar në NVE Rev.1.1. Të dhënat e ASN janë rillogaritur me klasifkimin NVE Rev 2 nga viti referencë 2010 dhe në vazhdim.</w:t>
            </w:r>
          </w:p>
        </w:tc>
      </w:tr>
      <w:tr w:rsidR="00B15F7B" w:rsidRPr="00430D9B" w:rsidTr="004767F6">
        <w:trPr>
          <w:trHeight w:val="608"/>
        </w:trPr>
        <w:tc>
          <w:tcPr>
            <w:tcW w:w="2453" w:type="dxa"/>
            <w:shd w:val="clear" w:color="auto" w:fill="FFFFCC"/>
            <w:noWrap/>
            <w:vAlign w:val="center"/>
            <w:hideMark/>
          </w:tcPr>
          <w:p w:rsidR="00343A0D" w:rsidRPr="00430D9B" w:rsidRDefault="00343A0D"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3.9. Periudha bazë</w:t>
            </w:r>
          </w:p>
        </w:tc>
        <w:tc>
          <w:tcPr>
            <w:tcW w:w="7953" w:type="dxa"/>
            <w:shd w:val="clear" w:color="auto" w:fill="auto"/>
            <w:noWrap/>
            <w:vAlign w:val="center"/>
            <w:hideMark/>
          </w:tcPr>
          <w:p w:rsidR="00343A0D" w:rsidRPr="003050CD" w:rsidRDefault="00E5417B" w:rsidP="005A225B">
            <w:pPr>
              <w:autoSpaceDE w:val="0"/>
              <w:autoSpaceDN w:val="0"/>
              <w:adjustRightInd w:val="0"/>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proofErr w:type="spellStart"/>
            <w:r w:rsidRPr="005A225B">
              <w:rPr>
                <w:rFonts w:ascii="Times New Roman" w:hAnsi="Times New Roman" w:cs="Times New Roman"/>
                <w:sz w:val="24"/>
                <w:szCs w:val="24"/>
              </w:rPr>
              <w:t>Nuk</w:t>
            </w:r>
            <w:proofErr w:type="spellEnd"/>
            <w:r w:rsidRPr="005A225B">
              <w:rPr>
                <w:rFonts w:ascii="Times New Roman" w:hAnsi="Times New Roman" w:cs="Times New Roman"/>
                <w:sz w:val="24"/>
                <w:szCs w:val="24"/>
              </w:rPr>
              <w:t xml:space="preserve"> </w:t>
            </w:r>
            <w:proofErr w:type="spellStart"/>
            <w:r w:rsidR="00894D62" w:rsidRPr="005A225B">
              <w:rPr>
                <w:rFonts w:ascii="Times New Roman" w:hAnsi="Times New Roman" w:cs="Times New Roman"/>
                <w:sz w:val="24"/>
                <w:szCs w:val="24"/>
              </w:rPr>
              <w:t>aplikohet</w:t>
            </w:r>
            <w:proofErr w:type="spellEnd"/>
            <w:r w:rsidR="0039644B" w:rsidRPr="005A225B">
              <w:rPr>
                <w:rFonts w:ascii="Times New Roman" w:hAnsi="Times New Roman" w:cs="Times New Roman"/>
                <w:sz w:val="24"/>
                <w:szCs w:val="24"/>
              </w:rPr>
              <w:t>.</w:t>
            </w:r>
          </w:p>
        </w:tc>
      </w:tr>
      <w:tr w:rsidR="00B15F7B" w:rsidRPr="00430D9B" w:rsidTr="005A225B">
        <w:trPr>
          <w:trHeight w:val="4706"/>
        </w:trPr>
        <w:tc>
          <w:tcPr>
            <w:tcW w:w="2453" w:type="dxa"/>
            <w:shd w:val="clear" w:color="auto" w:fill="FBD4B4" w:themeFill="accent6" w:themeFillTint="66"/>
            <w:noWrap/>
            <w:vAlign w:val="center"/>
            <w:hideMark/>
          </w:tcPr>
          <w:p w:rsidR="00343A0D" w:rsidRPr="003A3E29" w:rsidRDefault="00343A0D" w:rsidP="003A3E29">
            <w:pPr>
              <w:pStyle w:val="Heading1"/>
              <w:spacing w:before="0"/>
              <w:rPr>
                <w:rFonts w:ascii="Times New Roman" w:eastAsia="Times New Roman" w:hAnsi="Times New Roman" w:cs="Times New Roman"/>
                <w:b w:val="0"/>
                <w:noProof/>
                <w:color w:val="000000"/>
                <w:sz w:val="24"/>
                <w:szCs w:val="24"/>
                <w:lang w:val="sq-AL" w:eastAsia="sq-AL"/>
              </w:rPr>
            </w:pPr>
            <w:bookmarkStart w:id="3" w:name="_Toc64358756"/>
            <w:r w:rsidRPr="003A3E29">
              <w:rPr>
                <w:rFonts w:ascii="Times New Roman" w:eastAsia="Times New Roman" w:hAnsi="Times New Roman" w:cs="Times New Roman"/>
                <w:noProof/>
                <w:color w:val="000000"/>
                <w:sz w:val="24"/>
                <w:szCs w:val="24"/>
                <w:lang w:val="sq-AL" w:eastAsia="sq-AL"/>
              </w:rPr>
              <w:t>4. Njësia matëse</w:t>
            </w:r>
            <w:bookmarkEnd w:id="3"/>
          </w:p>
        </w:tc>
        <w:tc>
          <w:tcPr>
            <w:tcW w:w="7953" w:type="dxa"/>
            <w:shd w:val="clear" w:color="auto" w:fill="auto"/>
            <w:noWrap/>
            <w:vAlign w:val="center"/>
            <w:hideMark/>
          </w:tcPr>
          <w:p w:rsidR="002E543D" w:rsidRPr="00ED76AA" w:rsidRDefault="00E5417B" w:rsidP="005A225B">
            <w:pPr>
              <w:autoSpaceDE w:val="0"/>
              <w:autoSpaceDN w:val="0"/>
              <w:adjustRightInd w:val="0"/>
              <w:spacing w:before="240"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sz w:val="24"/>
                <w:szCs w:val="24"/>
                <w:lang w:val="sq-AL"/>
              </w:rPr>
              <w:t xml:space="preserve">Është përdorur numri si njësi matëse për listën e mëposhtme të treguesve: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Numri i ndërmarrjeve.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Numri mesatar vjetor i të punësuarve.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Numri mesatar vjetor i të punësuarve me pagesë.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Numri i të punësuarve në fund të vitit.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Numri i femrave në fund të vitit.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Numri i të vetë-punësuarve në fund të vitit.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Numri i të punësuarve me pagesë në fund të vitit. Përqindja është përdorur për listën e mëposhtme të treguesve makroekonomikë: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Përqindja e ndërmarrjeve me investime Njësia Milionë Lekë është përdorur për të dhënat financiare, të investimeve dhe disa tregues makroekonomikë si më poshtme: </w:t>
            </w:r>
          </w:p>
          <w:p w:rsidR="003050CD" w:rsidRPr="002B0F51" w:rsidRDefault="00E5417B" w:rsidP="002B0F51">
            <w:pPr>
              <w:pStyle w:val="ListParagraph"/>
              <w:numPr>
                <w:ilvl w:val="0"/>
                <w:numId w:val="21"/>
              </w:numPr>
              <w:rPr>
                <w:noProof/>
                <w:color w:val="000000"/>
                <w:lang w:val="sq-AL" w:eastAsia="sq-AL"/>
              </w:rPr>
            </w:pPr>
            <w:r w:rsidRPr="002B0F51">
              <w:rPr>
                <w:noProof/>
                <w:color w:val="000000"/>
                <w:lang w:val="sq-AL" w:eastAsia="sq-AL"/>
              </w:rPr>
              <w:t xml:space="preserve">Vlera e Prodhimit </w:t>
            </w:r>
          </w:p>
          <w:p w:rsidR="003050CD" w:rsidRPr="002B0F51" w:rsidRDefault="00BB53A2" w:rsidP="002B0F51">
            <w:pPr>
              <w:pStyle w:val="ListParagraph"/>
              <w:numPr>
                <w:ilvl w:val="0"/>
                <w:numId w:val="21"/>
              </w:numPr>
              <w:rPr>
                <w:noProof/>
                <w:color w:val="000000"/>
                <w:lang w:val="sq-AL" w:eastAsia="sq-AL"/>
              </w:rPr>
            </w:pPr>
            <w:r w:rsidRPr="002B0F51">
              <w:rPr>
                <w:noProof/>
                <w:color w:val="000000"/>
                <w:lang w:val="sq-AL" w:eastAsia="sq-AL"/>
              </w:rPr>
              <w:t>Konsumi Ndërmjetës</w:t>
            </w:r>
          </w:p>
          <w:p w:rsidR="00343A0D" w:rsidRPr="002B0F51" w:rsidRDefault="00E5417B" w:rsidP="002B0F51">
            <w:pPr>
              <w:pStyle w:val="ListParagraph"/>
              <w:numPr>
                <w:ilvl w:val="0"/>
                <w:numId w:val="21"/>
              </w:numPr>
              <w:spacing w:after="240"/>
              <w:rPr>
                <w:noProof/>
                <w:color w:val="000000"/>
                <w:lang w:val="sq-AL" w:eastAsia="sq-AL"/>
              </w:rPr>
            </w:pPr>
            <w:r w:rsidRPr="002B0F51">
              <w:rPr>
                <w:noProof/>
                <w:color w:val="000000"/>
                <w:lang w:val="sq-AL" w:eastAsia="sq-AL"/>
              </w:rPr>
              <w:t>Vlera e Shtuar</w:t>
            </w:r>
          </w:p>
        </w:tc>
      </w:tr>
      <w:tr w:rsidR="00B15F7B" w:rsidRPr="00430D9B" w:rsidTr="005A225B">
        <w:trPr>
          <w:trHeight w:val="755"/>
        </w:trPr>
        <w:tc>
          <w:tcPr>
            <w:tcW w:w="2453" w:type="dxa"/>
            <w:shd w:val="clear" w:color="auto" w:fill="FBD4B4" w:themeFill="accent6" w:themeFillTint="66"/>
            <w:noWrap/>
            <w:vAlign w:val="center"/>
            <w:hideMark/>
          </w:tcPr>
          <w:p w:rsidR="00343A0D" w:rsidRPr="00430D9B" w:rsidRDefault="00343A0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64358757"/>
            <w:r w:rsidRPr="00430D9B">
              <w:rPr>
                <w:rFonts w:ascii="Times New Roman" w:eastAsia="Times New Roman" w:hAnsi="Times New Roman" w:cs="Times New Roman"/>
                <w:noProof/>
                <w:color w:val="000000"/>
                <w:sz w:val="24"/>
                <w:szCs w:val="24"/>
                <w:lang w:val="sq-AL" w:eastAsia="sq-AL"/>
              </w:rPr>
              <w:t>5</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Periudha e referencës</w:t>
            </w:r>
            <w:bookmarkEnd w:id="4"/>
          </w:p>
        </w:tc>
        <w:tc>
          <w:tcPr>
            <w:tcW w:w="7953" w:type="dxa"/>
            <w:shd w:val="clear" w:color="auto" w:fill="auto"/>
            <w:noWrap/>
            <w:vAlign w:val="center"/>
            <w:hideMark/>
          </w:tcPr>
          <w:p w:rsidR="00343A0D" w:rsidRPr="003050CD" w:rsidRDefault="00E5417B" w:rsidP="00AE2524">
            <w:pPr>
              <w:autoSpaceDE w:val="0"/>
              <w:autoSpaceDN w:val="0"/>
              <w:adjustRightInd w:val="0"/>
              <w:spacing w:before="240" w:after="240" w:line="240" w:lineRule="auto"/>
              <w:ind w:left="101" w:right="86"/>
              <w:jc w:val="both"/>
              <w:rPr>
                <w:rFonts w:ascii="Times New Roman" w:hAnsi="Times New Roman" w:cs="Times New Roman"/>
                <w:noProof/>
                <w:sz w:val="24"/>
                <w:szCs w:val="24"/>
                <w:lang w:val="sq-AL"/>
              </w:rPr>
            </w:pPr>
            <w:r w:rsidRPr="00E9472A">
              <w:rPr>
                <w:rFonts w:ascii="Times New Roman" w:hAnsi="Times New Roman" w:cs="Times New Roman"/>
                <w:sz w:val="24"/>
                <w:szCs w:val="24"/>
              </w:rPr>
              <w:t xml:space="preserve">Të </w:t>
            </w:r>
            <w:proofErr w:type="spellStart"/>
            <w:r w:rsidRPr="00E9472A">
              <w:rPr>
                <w:rFonts w:ascii="Times New Roman" w:hAnsi="Times New Roman" w:cs="Times New Roman"/>
                <w:sz w:val="24"/>
                <w:szCs w:val="24"/>
              </w:rPr>
              <w:t>dhënat</w:t>
            </w:r>
            <w:proofErr w:type="spellEnd"/>
            <w:r w:rsidRPr="00E9472A">
              <w:rPr>
                <w:rFonts w:ascii="Times New Roman" w:hAnsi="Times New Roman" w:cs="Times New Roman"/>
                <w:sz w:val="24"/>
                <w:szCs w:val="24"/>
              </w:rPr>
              <w:t xml:space="preserve"> i </w:t>
            </w:r>
            <w:proofErr w:type="spellStart"/>
            <w:r w:rsidRPr="00E9472A">
              <w:rPr>
                <w:rFonts w:ascii="Times New Roman" w:hAnsi="Times New Roman" w:cs="Times New Roman"/>
                <w:sz w:val="24"/>
                <w:szCs w:val="24"/>
              </w:rPr>
              <w:t>përkasin</w:t>
            </w:r>
            <w:proofErr w:type="spellEnd"/>
            <w:r w:rsidRPr="00E9472A">
              <w:rPr>
                <w:rFonts w:ascii="Times New Roman" w:hAnsi="Times New Roman" w:cs="Times New Roman"/>
                <w:sz w:val="24"/>
                <w:szCs w:val="24"/>
              </w:rPr>
              <w:t xml:space="preserve"> </w:t>
            </w:r>
            <w:proofErr w:type="spellStart"/>
            <w:r w:rsidRPr="00E9472A">
              <w:rPr>
                <w:rFonts w:ascii="Times New Roman" w:hAnsi="Times New Roman" w:cs="Times New Roman"/>
                <w:sz w:val="24"/>
                <w:szCs w:val="24"/>
              </w:rPr>
              <w:t>periudhës</w:t>
            </w:r>
            <w:proofErr w:type="spellEnd"/>
            <w:r w:rsidRPr="00E9472A">
              <w:rPr>
                <w:rFonts w:ascii="Times New Roman" w:hAnsi="Times New Roman" w:cs="Times New Roman"/>
                <w:sz w:val="24"/>
                <w:szCs w:val="24"/>
              </w:rPr>
              <w:t xml:space="preserve"> </w:t>
            </w:r>
            <w:proofErr w:type="spellStart"/>
            <w:r w:rsidRPr="00E9472A">
              <w:rPr>
                <w:rFonts w:ascii="Times New Roman" w:hAnsi="Times New Roman" w:cs="Times New Roman"/>
                <w:sz w:val="24"/>
                <w:szCs w:val="24"/>
              </w:rPr>
              <w:t>vjetore</w:t>
            </w:r>
            <w:proofErr w:type="spellEnd"/>
            <w:r w:rsidRPr="00E9472A">
              <w:rPr>
                <w:rFonts w:ascii="Times New Roman" w:hAnsi="Times New Roman" w:cs="Times New Roman"/>
                <w:sz w:val="24"/>
                <w:szCs w:val="24"/>
              </w:rPr>
              <w:t xml:space="preserve"> </w:t>
            </w:r>
            <w:proofErr w:type="spellStart"/>
            <w:r w:rsidRPr="00E9472A">
              <w:rPr>
                <w:rFonts w:ascii="Times New Roman" w:hAnsi="Times New Roman" w:cs="Times New Roman"/>
                <w:sz w:val="24"/>
                <w:szCs w:val="24"/>
              </w:rPr>
              <w:t>kalendarike</w:t>
            </w:r>
            <w:proofErr w:type="spellEnd"/>
            <w:r w:rsidRPr="00E9472A">
              <w:rPr>
                <w:rFonts w:ascii="Times New Roman" w:hAnsi="Times New Roman" w:cs="Times New Roman"/>
                <w:sz w:val="24"/>
                <w:szCs w:val="24"/>
              </w:rPr>
              <w:t xml:space="preserve">. </w:t>
            </w:r>
            <w:proofErr w:type="spellStart"/>
            <w:r w:rsidRPr="00E9472A">
              <w:rPr>
                <w:rFonts w:ascii="Times New Roman" w:hAnsi="Times New Roman" w:cs="Times New Roman"/>
                <w:sz w:val="24"/>
                <w:szCs w:val="24"/>
              </w:rPr>
              <w:t>Ky</w:t>
            </w:r>
            <w:proofErr w:type="spellEnd"/>
            <w:r w:rsidRPr="00E9472A">
              <w:rPr>
                <w:rFonts w:ascii="Times New Roman" w:hAnsi="Times New Roman" w:cs="Times New Roman"/>
                <w:sz w:val="24"/>
                <w:szCs w:val="24"/>
              </w:rPr>
              <w:t xml:space="preserve"> </w:t>
            </w:r>
            <w:proofErr w:type="spellStart"/>
            <w:r w:rsidRPr="00E9472A">
              <w:rPr>
                <w:rFonts w:ascii="Times New Roman" w:hAnsi="Times New Roman" w:cs="Times New Roman"/>
                <w:sz w:val="24"/>
                <w:szCs w:val="24"/>
              </w:rPr>
              <w:t>raport</w:t>
            </w:r>
            <w:proofErr w:type="spellEnd"/>
            <w:r w:rsidRPr="00E9472A">
              <w:rPr>
                <w:rFonts w:ascii="Times New Roman" w:hAnsi="Times New Roman" w:cs="Times New Roman"/>
                <w:sz w:val="24"/>
                <w:szCs w:val="24"/>
              </w:rPr>
              <w:t xml:space="preserve"> i </w:t>
            </w:r>
            <w:proofErr w:type="spellStart"/>
            <w:r w:rsidRPr="00E9472A">
              <w:rPr>
                <w:rFonts w:ascii="Times New Roman" w:hAnsi="Times New Roman" w:cs="Times New Roman"/>
                <w:sz w:val="24"/>
                <w:szCs w:val="24"/>
              </w:rPr>
              <w:t>përket</w:t>
            </w:r>
            <w:proofErr w:type="spellEnd"/>
            <w:r w:rsidRPr="00E9472A">
              <w:rPr>
                <w:rFonts w:ascii="Times New Roman" w:hAnsi="Times New Roman" w:cs="Times New Roman"/>
                <w:sz w:val="24"/>
                <w:szCs w:val="24"/>
              </w:rPr>
              <w:t xml:space="preserve"> vitit </w:t>
            </w:r>
            <w:proofErr w:type="spellStart"/>
            <w:r w:rsidR="00386AC4" w:rsidRPr="00E9472A">
              <w:rPr>
                <w:rFonts w:ascii="Times New Roman" w:hAnsi="Times New Roman" w:cs="Times New Roman"/>
                <w:sz w:val="24"/>
                <w:szCs w:val="24"/>
              </w:rPr>
              <w:t>referencë</w:t>
            </w:r>
            <w:proofErr w:type="spellEnd"/>
            <w:r w:rsidR="00386AC4" w:rsidRPr="00E9472A">
              <w:rPr>
                <w:rFonts w:ascii="Times New Roman" w:hAnsi="Times New Roman" w:cs="Times New Roman"/>
                <w:sz w:val="24"/>
                <w:szCs w:val="24"/>
              </w:rPr>
              <w:t xml:space="preserve"> 201</w:t>
            </w:r>
            <w:r w:rsidR="00AE2524" w:rsidRPr="00E9472A">
              <w:rPr>
                <w:rFonts w:ascii="Times New Roman" w:hAnsi="Times New Roman" w:cs="Times New Roman"/>
                <w:sz w:val="24"/>
                <w:szCs w:val="24"/>
              </w:rPr>
              <w:t>9</w:t>
            </w:r>
            <w:r w:rsidRPr="00E9472A">
              <w:rPr>
                <w:rFonts w:ascii="Times New Roman" w:hAnsi="Times New Roman" w:cs="Times New Roman"/>
                <w:sz w:val="24"/>
                <w:szCs w:val="24"/>
              </w:rPr>
              <w:t>.</w:t>
            </w:r>
          </w:p>
        </w:tc>
      </w:tr>
      <w:tr w:rsidR="00343A0D" w:rsidRPr="00430D9B" w:rsidTr="004767F6">
        <w:trPr>
          <w:trHeight w:val="608"/>
        </w:trPr>
        <w:tc>
          <w:tcPr>
            <w:tcW w:w="10406" w:type="dxa"/>
            <w:gridSpan w:val="2"/>
            <w:shd w:val="clear" w:color="auto" w:fill="FBD4B4" w:themeFill="accent6" w:themeFillTint="66"/>
            <w:noWrap/>
            <w:vAlign w:val="center"/>
            <w:hideMark/>
          </w:tcPr>
          <w:p w:rsidR="00343A0D" w:rsidRPr="00430D9B" w:rsidRDefault="00343A0D" w:rsidP="0023053A">
            <w:pPr>
              <w:pStyle w:val="Heading1"/>
              <w:spacing w:before="0"/>
              <w:rPr>
                <w:rFonts w:ascii="Times New Roman" w:eastAsia="Times New Roman" w:hAnsi="Times New Roman" w:cs="Times New Roman"/>
                <w:noProof/>
                <w:color w:val="000000"/>
                <w:sz w:val="24"/>
                <w:szCs w:val="24"/>
                <w:lang w:val="sq-AL" w:eastAsia="sq-AL"/>
              </w:rPr>
            </w:pPr>
            <w:bookmarkStart w:id="5" w:name="_Toc64358758"/>
            <w:r w:rsidRPr="00430D9B">
              <w:rPr>
                <w:rFonts w:ascii="Times New Roman" w:eastAsia="Times New Roman" w:hAnsi="Times New Roman" w:cs="Times New Roman"/>
                <w:noProof/>
                <w:color w:val="000000"/>
                <w:sz w:val="24"/>
                <w:szCs w:val="24"/>
                <w:lang w:val="sq-AL" w:eastAsia="sq-AL"/>
              </w:rPr>
              <w:t>6</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Mandati institucional</w:t>
            </w:r>
            <w:bookmarkEnd w:id="5"/>
          </w:p>
        </w:tc>
      </w:tr>
      <w:tr w:rsidR="00E43898" w:rsidRPr="00DE4BE4" w:rsidTr="004767F6">
        <w:trPr>
          <w:trHeight w:val="608"/>
        </w:trPr>
        <w:tc>
          <w:tcPr>
            <w:tcW w:w="2453" w:type="dxa"/>
            <w:shd w:val="clear" w:color="auto" w:fill="FFFFCC"/>
            <w:noWrap/>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6.1. Akte ligjore dhe marrëveshje të tjera</w:t>
            </w:r>
          </w:p>
        </w:tc>
        <w:tc>
          <w:tcPr>
            <w:tcW w:w="7953" w:type="dxa"/>
            <w:shd w:val="clear" w:color="auto" w:fill="auto"/>
            <w:vAlign w:val="center"/>
          </w:tcPr>
          <w:p w:rsidR="003050CD" w:rsidRPr="00ED76AA" w:rsidRDefault="00E5417B" w:rsidP="005A225B">
            <w:pPr>
              <w:autoSpaceDE w:val="0"/>
              <w:autoSpaceDN w:val="0"/>
              <w:adjustRightInd w:val="0"/>
              <w:spacing w:before="240" w:after="240" w:line="240" w:lineRule="auto"/>
              <w:ind w:left="101" w:right="86"/>
              <w:jc w:val="both"/>
              <w:rPr>
                <w:rFonts w:ascii="Times New Roman" w:hAnsi="Times New Roman" w:cs="Times New Roman"/>
                <w:sz w:val="24"/>
                <w:szCs w:val="24"/>
                <w:lang w:val="sq-AL"/>
              </w:rPr>
            </w:pPr>
            <w:r w:rsidRPr="00ED76AA">
              <w:rPr>
                <w:rFonts w:ascii="Times New Roman" w:hAnsi="Times New Roman" w:cs="Times New Roman"/>
                <w:sz w:val="24"/>
                <w:szCs w:val="24"/>
                <w:lang w:val="sq-AL"/>
              </w:rPr>
              <w:t xml:space="preserve">Baza ligjore mbi të cilën u mbështetet vrojtimi vjetor statistikor i ndërmarrjeve përbëhet nga: </w:t>
            </w:r>
          </w:p>
          <w:p w:rsidR="005D5C41" w:rsidRPr="0034010B" w:rsidRDefault="000C739E" w:rsidP="007C0776">
            <w:pPr>
              <w:pStyle w:val="ListParagraph"/>
              <w:numPr>
                <w:ilvl w:val="0"/>
                <w:numId w:val="5"/>
              </w:numPr>
              <w:ind w:right="86"/>
              <w:jc w:val="both"/>
              <w:rPr>
                <w:rStyle w:val="InternetLink"/>
                <w:lang w:val="sq-AL" w:eastAsia="sq-AL"/>
              </w:rPr>
            </w:pPr>
            <w:hyperlink r:id="rId14">
              <w:r w:rsidR="005D5C41" w:rsidRPr="0034010B">
                <w:rPr>
                  <w:rStyle w:val="InternetLink"/>
                  <w:lang w:val="sq-AL" w:eastAsia="sq-AL"/>
                </w:rPr>
                <w:t>Ligji Nr.17/2018 “Për Statistikat Zyrtare”</w:t>
              </w:r>
            </w:hyperlink>
          </w:p>
          <w:p w:rsidR="003050CD" w:rsidRPr="0034010B" w:rsidRDefault="000C739E" w:rsidP="007C0776">
            <w:pPr>
              <w:pStyle w:val="ListParagraph"/>
              <w:numPr>
                <w:ilvl w:val="0"/>
                <w:numId w:val="5"/>
              </w:numPr>
              <w:ind w:right="86"/>
              <w:jc w:val="both"/>
              <w:rPr>
                <w:color w:val="0000FF"/>
                <w:u w:val="single"/>
                <w:lang w:val="sq-AL" w:eastAsia="sq-AL"/>
              </w:rPr>
            </w:pPr>
            <w:hyperlink r:id="rId15">
              <w:r w:rsidR="005D5C41" w:rsidRPr="0034010B">
                <w:rPr>
                  <w:rStyle w:val="InternetLink"/>
                  <w:lang w:val="it-IT" w:eastAsia="en-GB"/>
                </w:rPr>
                <w:t>Programi Kombëtar i Statistikave Zyrtare 2017-2021</w:t>
              </w:r>
            </w:hyperlink>
            <w:r w:rsidR="00E5417B" w:rsidRPr="0034010B">
              <w:t xml:space="preserve"> </w:t>
            </w:r>
          </w:p>
          <w:p w:rsidR="003050CD" w:rsidRPr="00ED76AA" w:rsidRDefault="00E5417B" w:rsidP="00B10E81">
            <w:pPr>
              <w:pStyle w:val="NormalWeb"/>
              <w:numPr>
                <w:ilvl w:val="0"/>
                <w:numId w:val="4"/>
              </w:numPr>
              <w:spacing w:before="0" w:beforeAutospacing="0" w:after="0" w:afterAutospacing="0"/>
              <w:ind w:right="86"/>
              <w:jc w:val="both"/>
              <w:rPr>
                <w:lang w:val="sq-AL"/>
              </w:rPr>
            </w:pPr>
            <w:r w:rsidRPr="00ED76AA">
              <w:rPr>
                <w:lang w:val="sq-AL"/>
              </w:rPr>
              <w:t xml:space="preserve">Vendimet e Këshillit të Statistikave. Duke qenë se, sipas ligjit të 6 statistikave zyrtare, roli i këtij organi është të mbikëqyrë, mbështesë dhe të marrë vendime në ndihmë të INSTAT-it dhe agjencive të tjera statistikore për të siguruar hartimin dhe zbatimin e Programit të Statistikave Zyrtare, aktet e miratuara nga ky organ janë të rëndësishme për ecurinë e zbatimit të aktiviteteve statistikor si dhe monitorimin e performancës së institucioneve përbërëse të sistemit kombëtar statistikor. </w:t>
            </w:r>
          </w:p>
          <w:p w:rsidR="003050CD" w:rsidRPr="00ED76AA" w:rsidRDefault="00E5417B" w:rsidP="00B10E81">
            <w:pPr>
              <w:pStyle w:val="NormalWeb"/>
              <w:numPr>
                <w:ilvl w:val="0"/>
                <w:numId w:val="4"/>
              </w:numPr>
              <w:spacing w:before="0" w:beforeAutospacing="0" w:after="0" w:afterAutospacing="0"/>
              <w:ind w:right="86"/>
              <w:jc w:val="both"/>
              <w:rPr>
                <w:lang w:val="sq-AL"/>
              </w:rPr>
            </w:pPr>
            <w:r w:rsidRPr="00ED76AA">
              <w:rPr>
                <w:lang w:val="sq-AL"/>
              </w:rPr>
              <w:t>Memorandumet e bashkëpunimit të har</w:t>
            </w:r>
            <w:r w:rsidR="00187573" w:rsidRPr="00ED76AA">
              <w:rPr>
                <w:lang w:val="sq-AL"/>
              </w:rPr>
              <w:t>tuara me institucionet e tjera e</w:t>
            </w:r>
            <w:r w:rsidRPr="00ED76AA">
              <w:rPr>
                <w:lang w:val="sq-AL"/>
              </w:rPr>
              <w:t>dhe pse Shqipëria nuk është ende pjesë e Bashkimit Europian</w:t>
            </w:r>
            <w:r w:rsidR="004B0A56" w:rsidRPr="00ED76AA">
              <w:rPr>
                <w:lang w:val="sq-AL"/>
              </w:rPr>
              <w:t>.</w:t>
            </w:r>
            <w:r w:rsidRPr="00ED76AA">
              <w:rPr>
                <w:lang w:val="sq-AL"/>
              </w:rPr>
              <w:t xml:space="preserve"> INSTAT kryen të gjitha aktivitet statistikore në përputhje me rregulloret respektive të EUROSTAT. Rezultatet e statistikave strukturore të ndërmarrjeve në mënyrë që të jenë të krahasueshme me ato të vendeve evropiane, prodhohen duke zbatuar edhe rregulloret e reja të Komisionit Evropian, KE: </w:t>
            </w:r>
          </w:p>
          <w:p w:rsidR="005515B6" w:rsidRDefault="00E5417B" w:rsidP="004B0A56">
            <w:pPr>
              <w:pStyle w:val="NormalWeb"/>
              <w:numPr>
                <w:ilvl w:val="1"/>
                <w:numId w:val="4"/>
              </w:numPr>
              <w:spacing w:before="0" w:beforeAutospacing="0" w:after="0" w:afterAutospacing="0"/>
              <w:ind w:right="86"/>
              <w:jc w:val="both"/>
            </w:pPr>
            <w:proofErr w:type="spellStart"/>
            <w:r>
              <w:t>Rregulloren</w:t>
            </w:r>
            <w:proofErr w:type="spellEnd"/>
            <w:r>
              <w:t xml:space="preserve"> (EC, EURATOM) No.58/97, 20 </w:t>
            </w:r>
            <w:proofErr w:type="spellStart"/>
            <w:r>
              <w:t>Dhjetor</w:t>
            </w:r>
            <w:proofErr w:type="spellEnd"/>
            <w:r>
              <w:t xml:space="preserve"> 1996;</w:t>
            </w:r>
          </w:p>
          <w:p w:rsidR="005515B6" w:rsidRPr="00ED76AA" w:rsidRDefault="00E5417B" w:rsidP="004B0A56">
            <w:pPr>
              <w:pStyle w:val="NormalWeb"/>
              <w:numPr>
                <w:ilvl w:val="1"/>
                <w:numId w:val="4"/>
              </w:numPr>
              <w:spacing w:before="0" w:beforeAutospacing="0" w:after="0" w:afterAutospacing="0"/>
              <w:ind w:right="86"/>
              <w:jc w:val="both"/>
              <w:rPr>
                <w:lang w:val="de-DE"/>
              </w:rPr>
            </w:pPr>
            <w:r w:rsidRPr="00ED76AA">
              <w:rPr>
                <w:lang w:val="de-DE"/>
              </w:rPr>
              <w:t xml:space="preserve">Rregulloren e KE Nr.295/2008 mbi "Statistikat Strukturore të Ndërmarrjeve"; </w:t>
            </w:r>
          </w:p>
          <w:p w:rsidR="005515B6" w:rsidRPr="00ED76AA" w:rsidRDefault="00E5417B" w:rsidP="004B0A56">
            <w:pPr>
              <w:pStyle w:val="NormalWeb"/>
              <w:numPr>
                <w:ilvl w:val="1"/>
                <w:numId w:val="4"/>
              </w:numPr>
              <w:spacing w:before="0" w:beforeAutospacing="0" w:after="0" w:afterAutospacing="0"/>
              <w:ind w:right="86"/>
              <w:jc w:val="both"/>
              <w:rPr>
                <w:lang w:val="de-DE"/>
              </w:rPr>
            </w:pPr>
            <w:r w:rsidRPr="00ED76AA">
              <w:rPr>
                <w:lang w:val="de-DE"/>
              </w:rPr>
              <w:t xml:space="preserve">Rregulloren e KE Nr. 1893/2006 mbi "Implementimin e Nomenklaturës së Veprimtarive Ekonomike, NVE Rev.2 në Statistikat Strukturore të Ndërmarrjeve; </w:t>
            </w:r>
          </w:p>
          <w:p w:rsidR="00E43898" w:rsidRPr="00ED76AA" w:rsidRDefault="00E5417B" w:rsidP="004B0A56">
            <w:pPr>
              <w:pStyle w:val="NormalWeb"/>
              <w:numPr>
                <w:ilvl w:val="1"/>
                <w:numId w:val="4"/>
              </w:numPr>
              <w:spacing w:before="0" w:beforeAutospacing="0" w:after="240" w:afterAutospacing="0"/>
              <w:ind w:right="86"/>
              <w:jc w:val="both"/>
              <w:rPr>
                <w:lang w:val="de-DE"/>
              </w:rPr>
            </w:pPr>
            <w:r w:rsidRPr="00ED76AA">
              <w:rPr>
                <w:lang w:val="de-DE"/>
              </w:rPr>
              <w:lastRenderedPageBreak/>
              <w:t>Rregulloren e KE Nr.250/2009 mbi "Definicionet e përdorura në Statistikat Strukturore të Ndërmarrjeve".</w:t>
            </w:r>
          </w:p>
        </w:tc>
      </w:tr>
      <w:tr w:rsidR="00BD6D4E" w:rsidRPr="00DE4BE4" w:rsidTr="004767F6">
        <w:trPr>
          <w:trHeight w:val="6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6.2. Shkëmbimi i të dhënave</w:t>
            </w:r>
          </w:p>
        </w:tc>
        <w:tc>
          <w:tcPr>
            <w:tcW w:w="7953" w:type="dxa"/>
            <w:shd w:val="clear" w:color="auto" w:fill="auto"/>
            <w:noWrap/>
            <w:vAlign w:val="center"/>
          </w:tcPr>
          <w:p w:rsidR="00BD6D4E" w:rsidRPr="00430D9B" w:rsidRDefault="00E5417B" w:rsidP="00BC430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5417B">
              <w:rPr>
                <w:rFonts w:ascii="Times New Roman" w:eastAsia="Times New Roman" w:hAnsi="Times New Roman" w:cs="Times New Roman"/>
                <w:noProof/>
                <w:color w:val="000000"/>
                <w:sz w:val="24"/>
                <w:szCs w:val="24"/>
                <w:lang w:val="sq-AL" w:eastAsia="sq-AL"/>
              </w:rPr>
              <w:t xml:space="preserve">Statistikat Strukturore të Ndërmarrjeve </w:t>
            </w:r>
            <w:r w:rsidR="00BC4306">
              <w:rPr>
                <w:rFonts w:ascii="Times New Roman" w:eastAsia="Times New Roman" w:hAnsi="Times New Roman" w:cs="Times New Roman"/>
                <w:noProof/>
                <w:color w:val="000000"/>
                <w:sz w:val="24"/>
                <w:szCs w:val="24"/>
                <w:lang w:val="sq-AL" w:eastAsia="sq-AL"/>
              </w:rPr>
              <w:t xml:space="preserve">kanë filluat të transmetohen </w:t>
            </w:r>
            <w:r w:rsidRPr="00E5417B">
              <w:rPr>
                <w:rFonts w:ascii="Times New Roman" w:eastAsia="Times New Roman" w:hAnsi="Times New Roman" w:cs="Times New Roman"/>
                <w:noProof/>
                <w:color w:val="000000"/>
                <w:sz w:val="24"/>
                <w:szCs w:val="24"/>
                <w:lang w:val="sq-AL" w:eastAsia="sq-AL"/>
              </w:rPr>
              <w:t>në EUROSTAT</w:t>
            </w:r>
            <w:r w:rsidR="00BC4306">
              <w:rPr>
                <w:rFonts w:ascii="Times New Roman" w:eastAsia="Times New Roman" w:hAnsi="Times New Roman" w:cs="Times New Roman"/>
                <w:noProof/>
                <w:color w:val="000000"/>
                <w:sz w:val="24"/>
                <w:szCs w:val="24"/>
                <w:lang w:val="sq-AL" w:eastAsia="sq-AL"/>
              </w:rPr>
              <w:t xml:space="preserve"> që prej vitit refernce 2017, por nuk jane validuar ende prej tyre.</w:t>
            </w:r>
            <w:r w:rsidRPr="00E5417B">
              <w:rPr>
                <w:rFonts w:ascii="Times New Roman" w:eastAsia="Times New Roman" w:hAnsi="Times New Roman" w:cs="Times New Roman"/>
                <w:noProof/>
                <w:color w:val="000000"/>
                <w:sz w:val="24"/>
                <w:szCs w:val="24"/>
                <w:lang w:val="sq-AL" w:eastAsia="sq-AL"/>
              </w:rPr>
              <w:t xml:space="preserve"> Aktualisht INSTAT plotëson një sërë pyetësorësh të organizmave ndërkombëtar</w:t>
            </w:r>
            <w:r w:rsidR="00BC4306">
              <w:rPr>
                <w:rFonts w:ascii="Times New Roman" w:eastAsia="Times New Roman" w:hAnsi="Times New Roman" w:cs="Times New Roman"/>
                <w:noProof/>
                <w:color w:val="000000"/>
                <w:sz w:val="24"/>
                <w:szCs w:val="24"/>
                <w:lang w:val="sq-AL" w:eastAsia="sq-AL"/>
              </w:rPr>
              <w:t>ë</w:t>
            </w:r>
            <w:r w:rsidRPr="00E5417B">
              <w:rPr>
                <w:rFonts w:ascii="Times New Roman" w:eastAsia="Times New Roman" w:hAnsi="Times New Roman" w:cs="Times New Roman"/>
                <w:noProof/>
                <w:color w:val="000000"/>
                <w:sz w:val="24"/>
                <w:szCs w:val="24"/>
                <w:lang w:val="sq-AL" w:eastAsia="sq-AL"/>
              </w:rPr>
              <w:t xml:space="preserve"> në lidhje me rezultatet e vrojtimit strukturor vjetor, si Komisioni Europian, Enterprise and Industry Directorate-General, OECD, etj.</w:t>
            </w:r>
          </w:p>
        </w:tc>
      </w:tr>
      <w:tr w:rsidR="00BD6D4E" w:rsidRPr="00430D9B" w:rsidTr="004767F6">
        <w:trPr>
          <w:trHeight w:val="613"/>
        </w:trPr>
        <w:tc>
          <w:tcPr>
            <w:tcW w:w="10406" w:type="dxa"/>
            <w:gridSpan w:val="2"/>
            <w:shd w:val="clear" w:color="auto" w:fill="FBD4B4" w:themeFill="accent6" w:themeFillTint="66"/>
            <w:noWrap/>
            <w:vAlign w:val="center"/>
            <w:hideMark/>
          </w:tcPr>
          <w:p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64358759"/>
            <w:r w:rsidRPr="00430D9B">
              <w:rPr>
                <w:rFonts w:ascii="Times New Roman" w:eastAsia="Times New Roman" w:hAnsi="Times New Roman" w:cs="Times New Roman"/>
                <w:noProof/>
                <w:color w:val="000000"/>
                <w:sz w:val="24"/>
                <w:szCs w:val="24"/>
                <w:lang w:val="sq-AL" w:eastAsia="sq-AL"/>
              </w:rPr>
              <w:t>7</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Konfidencialiteti</w:t>
            </w:r>
            <w:bookmarkEnd w:id="6"/>
          </w:p>
        </w:tc>
      </w:tr>
      <w:tr w:rsidR="00BD6D4E" w:rsidRPr="00DE4BE4" w:rsidTr="004767F6">
        <w:trPr>
          <w:trHeight w:val="6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7.1. Konfidencialiteti - politika </w:t>
            </w:r>
          </w:p>
        </w:tc>
        <w:tc>
          <w:tcPr>
            <w:tcW w:w="7953" w:type="dxa"/>
            <w:shd w:val="clear" w:color="auto" w:fill="auto"/>
            <w:vAlign w:val="center"/>
          </w:tcPr>
          <w:p w:rsidR="00BD6D4E" w:rsidRPr="00ED76AA" w:rsidRDefault="00E5417B" w:rsidP="00626614">
            <w:pPr>
              <w:pStyle w:val="NormalWeb"/>
              <w:spacing w:before="240" w:beforeAutospacing="0" w:after="240" w:afterAutospacing="0"/>
              <w:ind w:left="101" w:right="86"/>
              <w:jc w:val="both"/>
              <w:rPr>
                <w:lang w:val="sq-AL"/>
              </w:rPr>
            </w:pPr>
            <w:r w:rsidRPr="00ED76AA">
              <w:rPr>
                <w:lang w:val="sq-AL"/>
              </w:rPr>
              <w:t>Të dhënat e mbledhura konsiderohen rreptësisht konfidenciale dhe përdoren vetëm për qëllime statistikore e kërkime shkencore në përputhje me Ligj Nr. 17/2018 PËR STATISTIKAT ZYRTARE, si dhe Ligjin Nr. 9887, datë 10.03.2008 "Mbrojtja e të Dhënave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subjektet të mos jenë më të identifikueshëm</w:t>
            </w:r>
            <w:r w:rsidR="00876FAE" w:rsidRPr="00ED76AA">
              <w:rPr>
                <w:lang w:val="sq-AL"/>
              </w:rPr>
              <w:t>.</w:t>
            </w:r>
          </w:p>
        </w:tc>
      </w:tr>
      <w:tr w:rsidR="00BD6D4E" w:rsidRPr="00DE4BE4" w:rsidTr="004767F6">
        <w:trPr>
          <w:trHeight w:val="2237"/>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7.2. Konfidencialiteti - trajtimi i të dhënave</w:t>
            </w:r>
          </w:p>
        </w:tc>
        <w:tc>
          <w:tcPr>
            <w:tcW w:w="7953" w:type="dxa"/>
            <w:shd w:val="clear" w:color="auto" w:fill="auto"/>
            <w:vAlign w:val="center"/>
          </w:tcPr>
          <w:p w:rsidR="00BD6D4E" w:rsidRPr="00ED76AA" w:rsidRDefault="00E5417B" w:rsidP="00626614">
            <w:pPr>
              <w:pStyle w:val="NormalWeb"/>
              <w:spacing w:before="240" w:beforeAutospacing="0" w:after="240" w:afterAutospacing="0"/>
              <w:ind w:left="101" w:right="86"/>
              <w:jc w:val="both"/>
              <w:rPr>
                <w:lang w:val="sq-AL"/>
              </w:rPr>
            </w:pPr>
            <w:r w:rsidRPr="00ED76AA">
              <w:rPr>
                <w:lang w:val="sq-AL"/>
              </w:rPr>
              <w:t>Nga të dhënat në nivel individual të ASN largohen të gjitha të dhënat demografike të ndërmarrjes, si Nipt-i, emri i ndërmarrjes, emri dhe mbiemri i presidentit, data e krijimit të ndërmarrjes dhe adresa e saj. Fillimisht shënjohet me (c) si konfidenciale rastet e grupimeve që kanë 3 ose më pak ndërmarrje si edhe rastet kur përqindja që zënë dy ndërmarrjet më të mëdha kalon 75%. Më pas shënjohen me (c) rastet të cilat do të çonin në identif</w:t>
            </w:r>
            <w:r w:rsidR="00876FAE" w:rsidRPr="00ED76AA">
              <w:rPr>
                <w:lang w:val="sq-AL"/>
              </w:rPr>
              <w:t>ikimin indirekt të ndërmarrjeve.</w:t>
            </w:r>
          </w:p>
        </w:tc>
      </w:tr>
      <w:tr w:rsidR="00BD6D4E" w:rsidRPr="00430D9B" w:rsidTr="004767F6">
        <w:trPr>
          <w:trHeight w:val="613"/>
        </w:trPr>
        <w:tc>
          <w:tcPr>
            <w:tcW w:w="10406" w:type="dxa"/>
            <w:gridSpan w:val="2"/>
            <w:shd w:val="clear" w:color="auto" w:fill="FBD4B4" w:themeFill="accent6" w:themeFillTint="66"/>
            <w:noWrap/>
            <w:vAlign w:val="center"/>
            <w:hideMark/>
          </w:tcPr>
          <w:p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64358760"/>
            <w:r w:rsidRPr="00430D9B">
              <w:rPr>
                <w:rFonts w:ascii="Times New Roman" w:eastAsia="Times New Roman" w:hAnsi="Times New Roman" w:cs="Times New Roman"/>
                <w:noProof/>
                <w:color w:val="000000"/>
                <w:sz w:val="24"/>
                <w:szCs w:val="24"/>
                <w:lang w:val="sq-AL" w:eastAsia="sq-AL"/>
              </w:rPr>
              <w:t>8</w:t>
            </w:r>
            <w:r w:rsidRPr="00430D9B">
              <w:rPr>
                <w:rFonts w:ascii="Times New Roman" w:eastAsia="Times New Roman" w:hAnsi="Times New Roman" w:cs="Times New Roman"/>
                <w:b w:val="0"/>
                <w:bCs w:val="0"/>
                <w:noProof/>
                <w:color w:val="000000"/>
                <w:sz w:val="24"/>
                <w:szCs w:val="24"/>
                <w:lang w:val="sq-AL" w:eastAsia="sq-AL"/>
              </w:rPr>
              <w:t>.</w:t>
            </w:r>
            <w:r w:rsidRPr="00430D9B">
              <w:rPr>
                <w:rFonts w:ascii="Times New Roman" w:eastAsia="Times New Roman" w:hAnsi="Times New Roman" w:cs="Times New Roman"/>
                <w:noProof/>
                <w:color w:val="000000" w:themeColor="text1"/>
                <w:sz w:val="24"/>
                <w:szCs w:val="24"/>
                <w:lang w:val="sq-AL" w:eastAsia="sq-AL"/>
              </w:rPr>
              <w:t xml:space="preserve"> Politika e botimit</w:t>
            </w:r>
            <w:bookmarkEnd w:id="7"/>
          </w:p>
        </w:tc>
      </w:tr>
      <w:tr w:rsidR="00BD6D4E" w:rsidRPr="00DE4BE4" w:rsidTr="004767F6">
        <w:trPr>
          <w:trHeight w:val="6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8.1. Kalendari i publikimeve</w:t>
            </w:r>
          </w:p>
        </w:tc>
        <w:tc>
          <w:tcPr>
            <w:tcW w:w="7953" w:type="dxa"/>
            <w:shd w:val="clear" w:color="auto" w:fill="auto"/>
            <w:vAlign w:val="center"/>
          </w:tcPr>
          <w:p w:rsidR="00BD6D4E" w:rsidRPr="00430D9B" w:rsidRDefault="00D066B9"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33B1C">
              <w:rPr>
                <w:rFonts w:ascii="Times New Roman" w:eastAsia="Times New Roman" w:hAnsi="Times New Roman" w:cs="Times New Roman"/>
                <w:noProof/>
                <w:color w:val="000000"/>
                <w:sz w:val="24"/>
                <w:szCs w:val="24"/>
                <w:lang w:val="sq-AL" w:eastAsia="sq-AL"/>
              </w:rPr>
              <w:t>Njoftimet në lidhje me shpërndarjen e statistikave janë botuar në kalendarin e publikimit, i cili është në dispozicion në faqen e internetit. Njoftime dhe vonesat janë para-njoftuar në këtë kalendar. Në rastin e vonesave specifikohet data e publikimit të ardhshëm si dhe shpjegimi lidhur me arsyet e vonesave.</w:t>
            </w:r>
          </w:p>
        </w:tc>
      </w:tr>
      <w:tr w:rsidR="00BD6D4E" w:rsidRPr="00430D9B" w:rsidTr="004767F6">
        <w:trPr>
          <w:trHeight w:val="6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8.2. Aksesi në kalendarin e publikimeve</w:t>
            </w:r>
          </w:p>
        </w:tc>
        <w:tc>
          <w:tcPr>
            <w:tcW w:w="7953" w:type="dxa"/>
            <w:shd w:val="clear" w:color="auto" w:fill="auto"/>
            <w:vAlign w:val="center"/>
          </w:tcPr>
          <w:p w:rsidR="00317E7C" w:rsidRPr="00E5417B" w:rsidRDefault="000C739E" w:rsidP="00C71AE4">
            <w:pPr>
              <w:pStyle w:val="NormalWeb"/>
              <w:spacing w:before="240" w:beforeAutospacing="0" w:after="240" w:afterAutospacing="0"/>
              <w:ind w:left="101" w:right="86"/>
              <w:jc w:val="both"/>
            </w:pPr>
            <w:hyperlink r:id="rId16" w:history="1">
              <w:r w:rsidR="00317E7C" w:rsidRPr="00302C73">
                <w:rPr>
                  <w:rStyle w:val="Hyperlink"/>
                  <w:lang w:val="sq-AL"/>
                </w:rPr>
                <w:t>Kalendari i Publikimeve</w:t>
              </w:r>
            </w:hyperlink>
            <w:r w:rsidR="00317E7C" w:rsidRPr="00302C73">
              <w:rPr>
                <w:lang w:val="sq-AL"/>
              </w:rPr>
              <w:t xml:space="preserve"> është në dispozicion në faqen e internetit të </w:t>
            </w:r>
            <w:r w:rsidR="00317E7C">
              <w:rPr>
                <w:lang w:val="sq-AL"/>
              </w:rPr>
              <w:t>INSTAT.</w:t>
            </w:r>
          </w:p>
        </w:tc>
      </w:tr>
      <w:tr w:rsidR="00BD6D4E" w:rsidRPr="00DE4BE4" w:rsidTr="004767F6">
        <w:trPr>
          <w:trHeight w:val="6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8.3. Aksesi i përdoruesve</w:t>
            </w:r>
          </w:p>
        </w:tc>
        <w:tc>
          <w:tcPr>
            <w:tcW w:w="7953" w:type="dxa"/>
            <w:shd w:val="clear" w:color="auto" w:fill="auto"/>
            <w:vAlign w:val="center"/>
          </w:tcPr>
          <w:p w:rsidR="009B09F9" w:rsidRPr="00AC7635" w:rsidRDefault="00E5417B" w:rsidP="00A57145">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3A3E29">
              <w:rPr>
                <w:rFonts w:ascii="Times New Roman" w:eastAsia="Times New Roman" w:hAnsi="Times New Roman" w:cs="Times New Roman"/>
                <w:noProof/>
                <w:color w:val="000000"/>
                <w:sz w:val="24"/>
                <w:szCs w:val="24"/>
                <w:lang w:val="sq-AL" w:eastAsia="sq-AL"/>
              </w:rPr>
              <w:t xml:space="preserve">Në përputhje me nenin 34 të Ligji Nr. 17/2018 për Statistikat Zyrtare, statistikat zyrtare shpërndahen në mënyrë që të gjithë përdoruesit të kenë të drejtë të menjëhershme dhe të barabartë, përdoren të gjitha format e mundshme të medias, INSTAT-i dhe agjencitë statistikore, duke pasur në program përgjegjësitë për shpërndarjen, kërkojnë të përmbushin çdo kërkesë të çdo organizate ose individi, për të dhëna të pabotuara ose analiza të </w:t>
            </w:r>
            <w:r w:rsidRPr="003A3E29">
              <w:rPr>
                <w:rFonts w:ascii="Times New Roman" w:eastAsia="Times New Roman" w:hAnsi="Times New Roman" w:cs="Times New Roman"/>
                <w:noProof/>
                <w:color w:val="000000"/>
                <w:sz w:val="24"/>
                <w:szCs w:val="24"/>
                <w:lang w:val="sq-AL" w:eastAsia="sq-AL"/>
              </w:rPr>
              <w:lastRenderedPageBreak/>
              <w:t xml:space="preserve">veçanta. Kanalet nga të cilat përdoruesit mund të marrin rezultatet e publikimit tremujor të </w:t>
            </w:r>
            <w:r w:rsidRPr="00AC7635">
              <w:rPr>
                <w:rFonts w:ascii="Times New Roman" w:eastAsia="Times New Roman" w:hAnsi="Times New Roman" w:cs="Times New Roman"/>
                <w:noProof/>
                <w:color w:val="000000"/>
                <w:sz w:val="24"/>
                <w:szCs w:val="24"/>
                <w:lang w:val="sq-AL" w:eastAsia="sq-AL"/>
              </w:rPr>
              <w:t xml:space="preserve">Anketës Strukturore të Ndërmarrjeve janë si më poshtë: </w:t>
            </w:r>
          </w:p>
          <w:p w:rsidR="009B09F9" w:rsidRPr="00AC7635" w:rsidRDefault="00962376" w:rsidP="00A57145">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AC7635">
              <w:rPr>
                <w:rFonts w:ascii="Times New Roman" w:eastAsia="Times New Roman" w:hAnsi="Times New Roman" w:cs="Times New Roman"/>
                <w:noProof/>
                <w:color w:val="000000"/>
                <w:sz w:val="24"/>
                <w:szCs w:val="24"/>
                <w:lang w:val="sq-AL" w:eastAsia="sq-AL"/>
              </w:rPr>
              <w:t>1. Website – online release</w:t>
            </w:r>
          </w:p>
          <w:p w:rsidR="009B09F9" w:rsidRPr="00AC7635" w:rsidRDefault="00E5417B" w:rsidP="00A57145">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AC7635">
              <w:rPr>
                <w:rFonts w:ascii="Times New Roman" w:eastAsia="Times New Roman" w:hAnsi="Times New Roman" w:cs="Times New Roman"/>
                <w:noProof/>
                <w:color w:val="000000"/>
                <w:sz w:val="24"/>
                <w:szCs w:val="24"/>
                <w:lang w:val="sq-AL" w:eastAsia="sq-AL"/>
              </w:rPr>
              <w:t xml:space="preserve">2. Kërkesat e shkruara </w:t>
            </w:r>
            <w:r w:rsidR="001C7200" w:rsidRPr="00AC7635">
              <w:rPr>
                <w:rFonts w:ascii="Times New Roman" w:eastAsia="Times New Roman" w:hAnsi="Times New Roman" w:cs="Times New Roman"/>
                <w:noProof/>
                <w:color w:val="000000"/>
                <w:sz w:val="24"/>
                <w:szCs w:val="24"/>
                <w:lang w:val="sq-AL" w:eastAsia="sq-AL"/>
              </w:rPr>
              <w:t xml:space="preserve">(me postë ose </w:t>
            </w:r>
            <w:hyperlink r:id="rId17" w:history="1">
              <w:r w:rsidR="00AC7635" w:rsidRPr="00AC7635">
                <w:rPr>
                  <w:rStyle w:val="Hyperlink"/>
                  <w:rFonts w:ascii="Times New Roman" w:hAnsi="Times New Roman" w:cs="Times New Roman"/>
                  <w:sz w:val="24"/>
                  <w:szCs w:val="24"/>
                  <w:lang w:eastAsia="en-GB"/>
                </w:rPr>
                <w:t>email</w:t>
              </w:r>
            </w:hyperlink>
            <w:r w:rsidR="001C7200" w:rsidRPr="00AC7635">
              <w:rPr>
                <w:rFonts w:ascii="Times New Roman" w:eastAsia="Times New Roman" w:hAnsi="Times New Roman" w:cs="Times New Roman"/>
                <w:noProof/>
                <w:color w:val="000000"/>
                <w:sz w:val="24"/>
                <w:szCs w:val="24"/>
                <w:lang w:val="sq-AL" w:eastAsia="sq-AL"/>
              </w:rPr>
              <w:t>);</w:t>
            </w:r>
          </w:p>
          <w:p w:rsidR="009B09F9" w:rsidRPr="00AC7635" w:rsidRDefault="00E5417B" w:rsidP="00A57145">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AC7635">
              <w:rPr>
                <w:rFonts w:ascii="Times New Roman" w:eastAsia="Times New Roman" w:hAnsi="Times New Roman" w:cs="Times New Roman"/>
                <w:noProof/>
                <w:color w:val="000000"/>
                <w:sz w:val="24"/>
                <w:szCs w:val="24"/>
                <w:lang w:val="sq-AL" w:eastAsia="sq-AL"/>
              </w:rPr>
              <w:t xml:space="preserve">3. Publikimi Anketa Strukturore e Ndërmarrjeve </w:t>
            </w:r>
          </w:p>
          <w:p w:rsidR="00BD6D4E" w:rsidRPr="00626614" w:rsidRDefault="00E5417B" w:rsidP="00A57145">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AC7635">
              <w:rPr>
                <w:rFonts w:ascii="Times New Roman" w:eastAsia="Times New Roman" w:hAnsi="Times New Roman" w:cs="Times New Roman"/>
                <w:noProof/>
                <w:color w:val="000000"/>
                <w:sz w:val="24"/>
                <w:szCs w:val="24"/>
                <w:lang w:val="sq-AL" w:eastAsia="sq-AL"/>
              </w:rPr>
              <w:t xml:space="preserve">4. </w:t>
            </w:r>
            <w:r w:rsidR="001C7200" w:rsidRPr="00AC7635">
              <w:rPr>
                <w:rFonts w:ascii="Times New Roman" w:eastAsia="Times New Roman" w:hAnsi="Times New Roman" w:cs="Times New Roman"/>
                <w:noProof/>
                <w:color w:val="000000"/>
                <w:sz w:val="24"/>
                <w:szCs w:val="24"/>
                <w:lang w:val="sq-AL" w:eastAsia="sq-AL"/>
              </w:rPr>
              <w:t xml:space="preserve">Seksioni </w:t>
            </w:r>
            <w:hyperlink r:id="rId18" w:history="1">
              <w:r w:rsidR="00AC7635" w:rsidRPr="00ED76AA">
                <w:rPr>
                  <w:rStyle w:val="Hyperlink"/>
                  <w:rFonts w:ascii="Times New Roman" w:hAnsi="Times New Roman" w:cs="Times New Roman"/>
                  <w:sz w:val="24"/>
                  <w:szCs w:val="24"/>
                  <w:lang w:val="sq-AL"/>
                </w:rPr>
                <w:t>kërkesa të dhënash</w:t>
              </w:r>
            </w:hyperlink>
            <w:r w:rsidR="001C7200" w:rsidRPr="00AC7635">
              <w:rPr>
                <w:rFonts w:ascii="Times New Roman" w:eastAsia="Times New Roman" w:hAnsi="Times New Roman" w:cs="Times New Roman"/>
                <w:noProof/>
                <w:color w:val="000000"/>
                <w:sz w:val="24"/>
                <w:szCs w:val="24"/>
                <w:lang w:val="sq-AL" w:eastAsia="sq-AL"/>
              </w:rPr>
              <w:t>, për përdoruesit e jashtëm.</w:t>
            </w:r>
          </w:p>
        </w:tc>
      </w:tr>
      <w:tr w:rsidR="00BD6D4E" w:rsidRPr="00DE4BE4" w:rsidTr="004767F6">
        <w:trPr>
          <w:trHeight w:val="613"/>
        </w:trPr>
        <w:tc>
          <w:tcPr>
            <w:tcW w:w="2453" w:type="dxa"/>
            <w:shd w:val="clear" w:color="auto" w:fill="FBD4B4" w:themeFill="accent6" w:themeFillTint="66"/>
            <w:noWrap/>
            <w:vAlign w:val="center"/>
            <w:hideMark/>
          </w:tcPr>
          <w:p w:rsidR="00BD6D4E" w:rsidRPr="003A3E29" w:rsidRDefault="00BD6D4E" w:rsidP="003A3E29">
            <w:pPr>
              <w:pStyle w:val="Heading1"/>
              <w:spacing w:before="240" w:after="240" w:line="240" w:lineRule="auto"/>
              <w:ind w:left="101" w:right="86"/>
              <w:rPr>
                <w:rFonts w:ascii="Times New Roman" w:eastAsia="Times New Roman" w:hAnsi="Times New Roman" w:cs="Times New Roman"/>
                <w:noProof/>
                <w:color w:val="000000"/>
                <w:sz w:val="24"/>
                <w:szCs w:val="24"/>
                <w:lang w:val="sq-AL" w:eastAsia="sq-AL"/>
              </w:rPr>
            </w:pPr>
            <w:bookmarkStart w:id="8" w:name="_Toc64358761"/>
            <w:r w:rsidRPr="003A3E29">
              <w:rPr>
                <w:rFonts w:ascii="Times New Roman" w:eastAsia="Times New Roman" w:hAnsi="Times New Roman" w:cs="Times New Roman"/>
                <w:noProof/>
                <w:color w:val="000000"/>
                <w:sz w:val="24"/>
                <w:szCs w:val="24"/>
                <w:lang w:val="sq-AL" w:eastAsia="sq-AL"/>
              </w:rPr>
              <w:lastRenderedPageBreak/>
              <w:t>9.Shpeshtësia e shpërndarjes</w:t>
            </w:r>
            <w:bookmarkEnd w:id="8"/>
          </w:p>
        </w:tc>
        <w:tc>
          <w:tcPr>
            <w:tcW w:w="7953" w:type="dxa"/>
            <w:shd w:val="clear" w:color="auto" w:fill="auto"/>
            <w:noWrap/>
            <w:vAlign w:val="center"/>
            <w:hideMark/>
          </w:tcPr>
          <w:p w:rsidR="00BD6D4E" w:rsidRPr="00626614" w:rsidRDefault="00E5417B" w:rsidP="005A225B">
            <w:pPr>
              <w:spacing w:after="0"/>
              <w:ind w:left="101" w:right="86"/>
              <w:rPr>
                <w:rFonts w:ascii="Times New Roman" w:eastAsia="Times New Roman" w:hAnsi="Times New Roman" w:cs="Times New Roman"/>
                <w:noProof/>
                <w:color w:val="000000"/>
                <w:sz w:val="24"/>
                <w:szCs w:val="24"/>
                <w:lang w:val="sq-AL" w:eastAsia="sq-AL"/>
              </w:rPr>
            </w:pPr>
            <w:r w:rsidRPr="003A3E29">
              <w:rPr>
                <w:rFonts w:ascii="Times New Roman" w:eastAsia="Times New Roman" w:hAnsi="Times New Roman" w:cs="Times New Roman"/>
                <w:noProof/>
                <w:color w:val="000000"/>
                <w:sz w:val="24"/>
                <w:szCs w:val="24"/>
                <w:lang w:val="sq-AL" w:eastAsia="sq-AL"/>
              </w:rPr>
              <w:t>Rezultatet e ASN publikohen në baza vjetore.</w:t>
            </w:r>
          </w:p>
        </w:tc>
      </w:tr>
      <w:tr w:rsidR="00BD6D4E" w:rsidRPr="00DE4BE4" w:rsidTr="004767F6">
        <w:trPr>
          <w:trHeight w:val="613"/>
        </w:trPr>
        <w:tc>
          <w:tcPr>
            <w:tcW w:w="10406" w:type="dxa"/>
            <w:gridSpan w:val="2"/>
            <w:shd w:val="clear" w:color="auto" w:fill="FBD4B4" w:themeFill="accent6" w:themeFillTint="66"/>
            <w:noWrap/>
            <w:vAlign w:val="center"/>
            <w:hideMark/>
          </w:tcPr>
          <w:p w:rsidR="00BD6D4E" w:rsidRPr="00430D9B" w:rsidRDefault="00BD6D4E" w:rsidP="00626614">
            <w:pPr>
              <w:pStyle w:val="Heading1"/>
              <w:spacing w:before="240" w:after="240" w:line="240" w:lineRule="auto"/>
              <w:ind w:left="101" w:right="86"/>
              <w:jc w:val="both"/>
              <w:rPr>
                <w:rFonts w:ascii="Times New Roman" w:eastAsia="Times New Roman" w:hAnsi="Times New Roman" w:cs="Times New Roman"/>
                <w:b w:val="0"/>
                <w:bCs w:val="0"/>
                <w:noProof/>
                <w:sz w:val="24"/>
                <w:szCs w:val="24"/>
                <w:lang w:val="sq-AL" w:eastAsia="sq-AL"/>
              </w:rPr>
            </w:pPr>
            <w:bookmarkStart w:id="9" w:name="_Toc64358762"/>
            <w:r w:rsidRPr="00430D9B">
              <w:rPr>
                <w:rFonts w:ascii="Times New Roman" w:eastAsia="Times New Roman" w:hAnsi="Times New Roman" w:cs="Times New Roman"/>
                <w:noProof/>
                <w:color w:val="000000"/>
                <w:sz w:val="24"/>
                <w:szCs w:val="24"/>
                <w:lang w:val="sq-AL" w:eastAsia="sq-AL"/>
              </w:rPr>
              <w:t>10</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Aksesi në të dhëna dhe qartësia</w:t>
            </w:r>
            <w:bookmarkEnd w:id="9"/>
          </w:p>
        </w:tc>
      </w:tr>
      <w:tr w:rsidR="00BD6D4E" w:rsidRPr="00DE4BE4" w:rsidTr="004767F6">
        <w:trPr>
          <w:trHeight w:val="2169"/>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10.1. Njoftim për media</w:t>
            </w:r>
          </w:p>
        </w:tc>
        <w:tc>
          <w:tcPr>
            <w:tcW w:w="7953" w:type="dxa"/>
            <w:shd w:val="clear" w:color="auto" w:fill="auto"/>
            <w:vAlign w:val="center"/>
          </w:tcPr>
          <w:p w:rsidR="00BD6D4E" w:rsidRPr="00134082" w:rsidRDefault="000C739E"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hyperlink r:id="rId19" w:anchor="tab3" w:history="1">
              <w:r w:rsidR="00E5417B" w:rsidRPr="00ED76AA">
                <w:rPr>
                  <w:rStyle w:val="Hyperlink"/>
                  <w:rFonts w:ascii="Times New Roman" w:hAnsi="Times New Roman" w:cs="Times New Roman"/>
                  <w:sz w:val="24"/>
                  <w:szCs w:val="24"/>
                  <w:lang w:val="sq-AL"/>
                </w:rPr>
                <w:t>Njoftimi për shtyp</w:t>
              </w:r>
            </w:hyperlink>
            <w:r w:rsidR="00E5417B" w:rsidRPr="00ED76AA">
              <w:rPr>
                <w:rFonts w:ascii="Times New Roman" w:hAnsi="Times New Roman" w:cs="Times New Roman"/>
                <w:sz w:val="24"/>
                <w:szCs w:val="24"/>
                <w:lang w:val="sq-AL"/>
              </w:rPr>
              <w:t xml:space="preserve"> përmban informacion në lidhje me katër treguesit kryesorë, numri i ndërmarrjeve, numri i të punësuarve, shitjet neto dhe investimet. Formati i njoftimit për shtyp nuk ka ndryshuar; ajo është përcaktuar nga sektori i publikimit, i cili vendos edhe datën e publikimit. Njoftimi për shtyp i ASN publikohet online në faqen e internetit të INSTAT.</w:t>
            </w:r>
          </w:p>
        </w:tc>
      </w:tr>
      <w:tr w:rsidR="00BD6D4E" w:rsidRPr="00430D9B" w:rsidTr="004767F6">
        <w:trPr>
          <w:trHeight w:val="563"/>
        </w:trPr>
        <w:tc>
          <w:tcPr>
            <w:tcW w:w="2453" w:type="dxa"/>
            <w:shd w:val="clear" w:color="auto" w:fill="FFFFCC"/>
            <w:noWrap/>
            <w:vAlign w:val="center"/>
            <w:hideMark/>
          </w:tcPr>
          <w:p w:rsidR="00BD6D4E" w:rsidRPr="00430D9B" w:rsidRDefault="00BD6D4E" w:rsidP="00B950C9">
            <w:pPr>
              <w:spacing w:before="24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10.2. Publikime</w:t>
            </w:r>
          </w:p>
        </w:tc>
        <w:tc>
          <w:tcPr>
            <w:tcW w:w="7953" w:type="dxa"/>
            <w:shd w:val="clear" w:color="auto" w:fill="auto"/>
            <w:vAlign w:val="center"/>
          </w:tcPr>
          <w:p w:rsidR="009B09F9" w:rsidRPr="00ED76AA" w:rsidRDefault="00E5417B" w:rsidP="006666FF">
            <w:pPr>
              <w:spacing w:before="240" w:after="0" w:line="240" w:lineRule="auto"/>
              <w:ind w:left="101" w:right="86"/>
              <w:jc w:val="both"/>
              <w:rPr>
                <w:rFonts w:ascii="Times New Roman" w:hAnsi="Times New Roman" w:cs="Times New Roman"/>
                <w:sz w:val="24"/>
                <w:szCs w:val="24"/>
                <w:lang w:val="de-DE"/>
              </w:rPr>
            </w:pPr>
            <w:r w:rsidRPr="00ED76AA">
              <w:rPr>
                <w:rFonts w:ascii="Times New Roman" w:hAnsi="Times New Roman" w:cs="Times New Roman"/>
                <w:sz w:val="24"/>
                <w:szCs w:val="24"/>
                <w:lang w:val="de-DE"/>
              </w:rPr>
              <w:t xml:space="preserve">Rezultatet e ASN gjenden të botuara në Vjetarin Statistikor. Përdoruesit mund ti gjejnë rezultatet në faqen e internetit të INSTAT: </w:t>
            </w:r>
          </w:p>
          <w:p w:rsidR="00411B47" w:rsidRPr="00C71AE4" w:rsidRDefault="000C739E" w:rsidP="00B950C9">
            <w:pPr>
              <w:pStyle w:val="ListParagraph"/>
              <w:numPr>
                <w:ilvl w:val="0"/>
                <w:numId w:val="6"/>
              </w:numPr>
              <w:spacing w:after="200"/>
              <w:ind w:right="86"/>
              <w:jc w:val="both"/>
            </w:pPr>
            <w:hyperlink r:id="rId20" w:anchor="tab2" w:history="1">
              <w:proofErr w:type="spellStart"/>
              <w:r w:rsidR="00E5417B" w:rsidRPr="00C71AE4">
                <w:rPr>
                  <w:rStyle w:val="Hyperlink"/>
                </w:rPr>
                <w:t>Informa</w:t>
              </w:r>
              <w:r w:rsidR="009B09F9" w:rsidRPr="00C71AE4">
                <w:rPr>
                  <w:rStyle w:val="Hyperlink"/>
                </w:rPr>
                <w:t>cioni</w:t>
              </w:r>
              <w:proofErr w:type="spellEnd"/>
              <w:r w:rsidR="009B09F9" w:rsidRPr="00C71AE4">
                <w:rPr>
                  <w:rStyle w:val="Hyperlink"/>
                </w:rPr>
                <w:t xml:space="preserve"> </w:t>
              </w:r>
              <w:proofErr w:type="spellStart"/>
              <w:r w:rsidR="009B09F9" w:rsidRPr="00C71AE4">
                <w:rPr>
                  <w:rStyle w:val="Hyperlink"/>
                </w:rPr>
                <w:t>ekonomik</w:t>
              </w:r>
              <w:proofErr w:type="spellEnd"/>
              <w:r w:rsidR="009B09F9" w:rsidRPr="00C71AE4">
                <w:rPr>
                  <w:rStyle w:val="Hyperlink"/>
                </w:rPr>
                <w:t xml:space="preserve"> </w:t>
              </w:r>
              <w:proofErr w:type="spellStart"/>
              <w:r w:rsidR="009B09F9" w:rsidRPr="00C71AE4">
                <w:rPr>
                  <w:rStyle w:val="Hyperlink"/>
                </w:rPr>
                <w:t>për</w:t>
              </w:r>
              <w:proofErr w:type="spellEnd"/>
              <w:r w:rsidR="009B09F9" w:rsidRPr="00C71AE4">
                <w:rPr>
                  <w:rStyle w:val="Hyperlink"/>
                </w:rPr>
                <w:t xml:space="preserve"> </w:t>
              </w:r>
              <w:proofErr w:type="spellStart"/>
              <w:r w:rsidR="009B09F9" w:rsidRPr="00C71AE4">
                <w:rPr>
                  <w:rStyle w:val="Hyperlink"/>
                </w:rPr>
                <w:t>ndërmarrj</w:t>
              </w:r>
              <w:r w:rsidR="00411B47" w:rsidRPr="00C71AE4">
                <w:rPr>
                  <w:rStyle w:val="Hyperlink"/>
                </w:rPr>
                <w:t>et</w:t>
              </w:r>
              <w:proofErr w:type="spellEnd"/>
            </w:hyperlink>
          </w:p>
          <w:p w:rsidR="00BD6D4E" w:rsidRPr="0034010B" w:rsidRDefault="000C739E" w:rsidP="00B950C9">
            <w:pPr>
              <w:pStyle w:val="ListParagraph"/>
              <w:numPr>
                <w:ilvl w:val="0"/>
                <w:numId w:val="6"/>
              </w:numPr>
              <w:spacing w:after="200"/>
              <w:ind w:right="86"/>
              <w:jc w:val="both"/>
              <w:rPr>
                <w:noProof/>
                <w:color w:val="000000"/>
                <w:lang w:val="sq-AL" w:eastAsia="sq-AL"/>
              </w:rPr>
            </w:pPr>
            <w:hyperlink r:id="rId21" w:history="1">
              <w:proofErr w:type="spellStart"/>
              <w:r w:rsidR="00E5417B" w:rsidRPr="00C71AE4">
                <w:rPr>
                  <w:rStyle w:val="Hyperlink"/>
                </w:rPr>
                <w:t>Vjetari</w:t>
              </w:r>
              <w:proofErr w:type="spellEnd"/>
              <w:r w:rsidR="00E5417B" w:rsidRPr="00C71AE4">
                <w:rPr>
                  <w:rStyle w:val="Hyperlink"/>
                </w:rPr>
                <w:t xml:space="preserve"> Statistikor</w:t>
              </w:r>
              <w:r w:rsidR="006A4810" w:rsidRPr="0034010B">
                <w:rPr>
                  <w:rStyle w:val="Hyperlink"/>
                </w:rPr>
                <w:t xml:space="preserve"> </w:t>
              </w:r>
            </w:hyperlink>
            <w:r w:rsidR="006A4810" w:rsidRPr="0034010B">
              <w:t xml:space="preserve"> </w:t>
            </w:r>
          </w:p>
        </w:tc>
      </w:tr>
      <w:tr w:rsidR="00BD6D4E" w:rsidRPr="00DE4BE4" w:rsidTr="004767F6">
        <w:trPr>
          <w:trHeight w:val="6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10.3. Baza e të dhënave on-line</w:t>
            </w:r>
          </w:p>
        </w:tc>
        <w:tc>
          <w:tcPr>
            <w:tcW w:w="7953" w:type="dxa"/>
            <w:shd w:val="clear" w:color="auto" w:fill="auto"/>
            <w:vAlign w:val="center"/>
          </w:tcPr>
          <w:p w:rsidR="00BD6D4E" w:rsidRPr="00626614" w:rsidRDefault="00E5417B" w:rsidP="00A8110F">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 xml:space="preserve">Të gjitha informacionet vihen në dispozicion në dy gjuhë: Shqip dhe Anglisht. Që nga viti 2011, përmes sistemit Pc-Axis, për përdoruesit e jashtëm në faqen e internetit ofrohet seria kohore e ASN nga viti 2002 si viti referencë. Bazën e të dhënave </w:t>
            </w:r>
            <w:r w:rsidR="00A8110F" w:rsidRPr="00ED76AA">
              <w:rPr>
                <w:rFonts w:ascii="Times New Roman" w:hAnsi="Times New Roman" w:cs="Times New Roman"/>
                <w:sz w:val="24"/>
                <w:szCs w:val="24"/>
                <w:lang w:val="sq-AL"/>
              </w:rPr>
              <w:t xml:space="preserve">mund t’a </w:t>
            </w:r>
            <w:r w:rsidRPr="00ED76AA">
              <w:rPr>
                <w:rFonts w:ascii="Times New Roman" w:hAnsi="Times New Roman" w:cs="Times New Roman"/>
                <w:sz w:val="24"/>
                <w:szCs w:val="24"/>
                <w:lang w:val="sq-AL"/>
              </w:rPr>
              <w:t xml:space="preserve">aksesoni në linkun </w:t>
            </w:r>
            <w:r w:rsidR="00A8110F" w:rsidRPr="00ED76AA">
              <w:rPr>
                <w:rFonts w:ascii="Times New Roman" w:hAnsi="Times New Roman" w:cs="Times New Roman"/>
                <w:sz w:val="24"/>
                <w:szCs w:val="24"/>
                <w:lang w:val="sq-AL"/>
              </w:rPr>
              <w:t>si vijon</w:t>
            </w:r>
            <w:r w:rsidRPr="00ED76AA">
              <w:rPr>
                <w:rFonts w:ascii="Times New Roman" w:hAnsi="Times New Roman" w:cs="Times New Roman"/>
                <w:sz w:val="24"/>
                <w:szCs w:val="24"/>
                <w:lang w:val="sq-AL"/>
              </w:rPr>
              <w:t xml:space="preserve">: </w:t>
            </w:r>
            <w:hyperlink r:id="rId22" w:history="1">
              <w:r w:rsidR="006A4810" w:rsidRPr="00ED76AA">
                <w:rPr>
                  <w:rStyle w:val="Hyperlink"/>
                  <w:rFonts w:ascii="Times New Roman" w:hAnsi="Times New Roman" w:cs="Times New Roman"/>
                  <w:sz w:val="24"/>
                  <w:szCs w:val="24"/>
                  <w:lang w:val="sq-AL"/>
                </w:rPr>
                <w:t>Databaza Statistikore</w:t>
              </w:r>
            </w:hyperlink>
            <w:r w:rsidR="00876FAE" w:rsidRPr="00ED76AA">
              <w:rPr>
                <w:rStyle w:val="Hyperlink"/>
                <w:rFonts w:ascii="Times New Roman" w:hAnsi="Times New Roman" w:cs="Times New Roman"/>
                <w:sz w:val="24"/>
                <w:szCs w:val="24"/>
                <w:lang w:val="sq-AL"/>
              </w:rPr>
              <w:t>.</w:t>
            </w:r>
          </w:p>
        </w:tc>
      </w:tr>
      <w:tr w:rsidR="00BD6D4E" w:rsidRPr="00DE4BE4" w:rsidTr="004767F6">
        <w:trPr>
          <w:trHeight w:val="6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10.4. Aksesi në të dhënat mikro </w:t>
            </w:r>
          </w:p>
        </w:tc>
        <w:tc>
          <w:tcPr>
            <w:tcW w:w="7953" w:type="dxa"/>
            <w:shd w:val="clear" w:color="auto" w:fill="auto"/>
            <w:noWrap/>
            <w:vAlign w:val="center"/>
            <w:hideMark/>
          </w:tcPr>
          <w:p w:rsidR="00BD6D4E" w:rsidRPr="00626614" w:rsidRDefault="00E5417B"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Të dhënat e ASN nuk bëhen të disponueshme në nivel mikro, si pasojë e ruajtjes së konfidencialitetit. Të dhënat e agreguara, janë lloji i vetëm i të dhënave që ofrohet për përdoruesit e jashtëm. Edhe pse të dhënat mikro nuk publikohen, ato mund të aksesohen në bazë të nenit 34 të Ligjit Nr. 17/2018</w:t>
            </w:r>
            <w:r w:rsidR="00C71AE4" w:rsidRPr="00ED76AA">
              <w:rPr>
                <w:rFonts w:ascii="Times New Roman" w:hAnsi="Times New Roman" w:cs="Times New Roman"/>
                <w:sz w:val="24"/>
                <w:szCs w:val="24"/>
                <w:lang w:val="sq-AL"/>
              </w:rPr>
              <w:t>.</w:t>
            </w:r>
          </w:p>
        </w:tc>
      </w:tr>
      <w:tr w:rsidR="00BD6D4E" w:rsidRPr="00DE4BE4" w:rsidTr="004767F6">
        <w:trPr>
          <w:trHeight w:val="758"/>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10.5. Të tjera</w:t>
            </w:r>
          </w:p>
        </w:tc>
        <w:tc>
          <w:tcPr>
            <w:tcW w:w="7953" w:type="dxa"/>
            <w:shd w:val="clear" w:color="auto" w:fill="auto"/>
            <w:noWrap/>
            <w:vAlign w:val="center"/>
            <w:hideMark/>
          </w:tcPr>
          <w:p w:rsidR="00BD6D4E" w:rsidRPr="00ED76AA" w:rsidRDefault="00E5417B" w:rsidP="001C7200">
            <w:pPr>
              <w:pStyle w:val="NormalWeb"/>
              <w:spacing w:before="240" w:beforeAutospacing="0" w:after="240" w:afterAutospacing="0"/>
              <w:ind w:left="101" w:right="86"/>
              <w:jc w:val="both"/>
              <w:rPr>
                <w:lang w:val="sq-AL"/>
              </w:rPr>
            </w:pPr>
            <w:r w:rsidRPr="00ED76AA">
              <w:rPr>
                <w:lang w:val="sq-AL"/>
              </w:rPr>
              <w:t>Përdoruesit mund të dërgojnë kërkesa të tjera specifike nëpërmjet një sesioni të dedikuar pë</w:t>
            </w:r>
            <w:r w:rsidR="006A4810" w:rsidRPr="00ED76AA">
              <w:rPr>
                <w:lang w:val="sq-AL"/>
              </w:rPr>
              <w:t xml:space="preserve">r </w:t>
            </w:r>
            <w:hyperlink r:id="rId23" w:history="1">
              <w:r w:rsidR="00411B47" w:rsidRPr="00ED76AA">
                <w:rPr>
                  <w:rStyle w:val="Hyperlink"/>
                  <w:lang w:val="sq-AL"/>
                </w:rPr>
                <w:t>K</w:t>
              </w:r>
              <w:r w:rsidR="006A4810" w:rsidRPr="00ED76AA">
                <w:rPr>
                  <w:rStyle w:val="Hyperlink"/>
                  <w:lang w:val="sq-AL"/>
                </w:rPr>
                <w:t>ërkesë të</w:t>
              </w:r>
              <w:r w:rsidR="00411B47" w:rsidRPr="00ED76AA">
                <w:rPr>
                  <w:rStyle w:val="Hyperlink"/>
                  <w:lang w:val="sq-AL"/>
                </w:rPr>
                <w:t xml:space="preserve"> D</w:t>
              </w:r>
              <w:r w:rsidR="006A4810" w:rsidRPr="00ED76AA">
                <w:rPr>
                  <w:rStyle w:val="Hyperlink"/>
                  <w:lang w:val="sq-AL"/>
                </w:rPr>
                <w:t>hënash</w:t>
              </w:r>
            </w:hyperlink>
            <w:r w:rsidR="006A4810" w:rsidRPr="00ED76AA">
              <w:rPr>
                <w:lang w:val="sq-AL"/>
              </w:rPr>
              <w:t>.</w:t>
            </w:r>
          </w:p>
        </w:tc>
      </w:tr>
      <w:tr w:rsidR="00BD6D4E" w:rsidRPr="00DE4BE4" w:rsidTr="004767F6">
        <w:trPr>
          <w:trHeight w:val="369"/>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10.6. Dokumentimi i metodologjisë </w:t>
            </w:r>
          </w:p>
        </w:tc>
        <w:tc>
          <w:tcPr>
            <w:tcW w:w="7953" w:type="dxa"/>
            <w:shd w:val="clear" w:color="auto" w:fill="auto"/>
            <w:vAlign w:val="center"/>
          </w:tcPr>
          <w:p w:rsidR="00BD6D4E" w:rsidRPr="00430D9B" w:rsidRDefault="00E5417B" w:rsidP="00CB364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5417B">
              <w:rPr>
                <w:rFonts w:ascii="Times New Roman" w:eastAsia="Times New Roman" w:hAnsi="Times New Roman" w:cs="Times New Roman"/>
                <w:noProof/>
                <w:color w:val="000000"/>
                <w:sz w:val="24"/>
                <w:szCs w:val="24"/>
                <w:lang w:val="sq-AL" w:eastAsia="sq-AL"/>
              </w:rPr>
              <w:t xml:space="preserve">Një shpjegim i shkurtër lidhur me përkufizimet, konceptet kryesore dhe shpjegimet metodologjike për përdoruesit publikohet në njoftimin për shtyp dhe publikimet. Informacione shtesë u jepen përdoruesve të brendshëm kur është e nevojshme. Në faqen e INSTAT ka një seksion lidhur me </w:t>
            </w:r>
            <w:hyperlink r:id="rId24" w:anchor="tab4" w:history="1">
              <w:r w:rsidR="00411B47">
                <w:rPr>
                  <w:rStyle w:val="Hyperlink"/>
                  <w:rFonts w:ascii="Times New Roman" w:eastAsia="Times New Roman" w:hAnsi="Times New Roman" w:cs="Times New Roman"/>
                  <w:noProof/>
                  <w:sz w:val="24"/>
                  <w:szCs w:val="24"/>
                  <w:lang w:val="sq-AL" w:eastAsia="sq-AL"/>
                </w:rPr>
                <w:t>M</w:t>
              </w:r>
              <w:r w:rsidRPr="00CB3648">
                <w:rPr>
                  <w:rStyle w:val="Hyperlink"/>
                  <w:rFonts w:ascii="Times New Roman" w:eastAsia="Times New Roman" w:hAnsi="Times New Roman" w:cs="Times New Roman"/>
                  <w:noProof/>
                  <w:sz w:val="24"/>
                  <w:szCs w:val="24"/>
                  <w:lang w:val="sq-AL" w:eastAsia="sq-AL"/>
                </w:rPr>
                <w:t>etodo</w:t>
              </w:r>
              <w:r w:rsidR="006A4810" w:rsidRPr="00CB3648">
                <w:rPr>
                  <w:rStyle w:val="Hyperlink"/>
                  <w:rFonts w:ascii="Times New Roman" w:eastAsia="Times New Roman" w:hAnsi="Times New Roman" w:cs="Times New Roman"/>
                  <w:noProof/>
                  <w:sz w:val="24"/>
                  <w:szCs w:val="24"/>
                  <w:lang w:val="sq-AL" w:eastAsia="sq-AL"/>
                </w:rPr>
                <w:t>lo</w:t>
              </w:r>
              <w:r w:rsidRPr="00CB3648">
                <w:rPr>
                  <w:rStyle w:val="Hyperlink"/>
                  <w:rFonts w:ascii="Times New Roman" w:eastAsia="Times New Roman" w:hAnsi="Times New Roman" w:cs="Times New Roman"/>
                  <w:noProof/>
                  <w:sz w:val="24"/>
                  <w:szCs w:val="24"/>
                  <w:lang w:val="sq-AL" w:eastAsia="sq-AL"/>
                </w:rPr>
                <w:t>gjinë mbi vrojtimin</w:t>
              </w:r>
            </w:hyperlink>
            <w:r w:rsidR="00CB3648">
              <w:rPr>
                <w:rFonts w:ascii="Times New Roman" w:eastAsia="Times New Roman" w:hAnsi="Times New Roman" w:cs="Times New Roman"/>
                <w:noProof/>
                <w:color w:val="000000"/>
                <w:sz w:val="24"/>
                <w:szCs w:val="24"/>
                <w:lang w:val="sq-AL" w:eastAsia="sq-AL"/>
              </w:rPr>
              <w:t>.</w:t>
            </w:r>
          </w:p>
        </w:tc>
      </w:tr>
      <w:tr w:rsidR="00BD6D4E" w:rsidRPr="00DE4BE4" w:rsidTr="004767F6">
        <w:trPr>
          <w:trHeight w:val="608"/>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10.7. Dokumentimi i cilësisë</w:t>
            </w:r>
          </w:p>
        </w:tc>
        <w:tc>
          <w:tcPr>
            <w:tcW w:w="7953" w:type="dxa"/>
            <w:shd w:val="clear" w:color="auto" w:fill="auto"/>
            <w:noWrap/>
            <w:vAlign w:val="center"/>
            <w:hideMark/>
          </w:tcPr>
          <w:p w:rsidR="00BD6D4E" w:rsidRPr="00430D9B" w:rsidRDefault="00E5417B"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5417B">
              <w:rPr>
                <w:rFonts w:ascii="Times New Roman" w:eastAsia="Times New Roman" w:hAnsi="Times New Roman" w:cs="Times New Roman"/>
                <w:noProof/>
                <w:color w:val="000000"/>
                <w:sz w:val="24"/>
                <w:szCs w:val="24"/>
                <w:lang w:val="sq-AL" w:eastAsia="sq-AL"/>
              </w:rPr>
              <w:t>Sektori i Statistikave Strukturore dokumenton të gjithë procesin e punës dhe procedurat e ASN për qëllime të brendshme.</w:t>
            </w:r>
          </w:p>
        </w:tc>
      </w:tr>
      <w:tr w:rsidR="00BD6D4E" w:rsidRPr="00430D9B" w:rsidTr="004767F6">
        <w:trPr>
          <w:trHeight w:val="608"/>
        </w:trPr>
        <w:tc>
          <w:tcPr>
            <w:tcW w:w="10406" w:type="dxa"/>
            <w:gridSpan w:val="2"/>
            <w:shd w:val="clear" w:color="auto" w:fill="FBD4B4" w:themeFill="accent6" w:themeFillTint="66"/>
            <w:noWrap/>
            <w:vAlign w:val="center"/>
            <w:hideMark/>
          </w:tcPr>
          <w:p w:rsidR="00BD6D4E" w:rsidRPr="00A57145" w:rsidRDefault="00BD6D4E" w:rsidP="00807B81">
            <w:pPr>
              <w:pStyle w:val="Heading1"/>
              <w:spacing w:before="240" w:after="240" w:line="240" w:lineRule="auto"/>
              <w:ind w:left="101" w:right="86"/>
              <w:jc w:val="both"/>
              <w:rPr>
                <w:rFonts w:ascii="Times New Roman" w:eastAsia="Times New Roman" w:hAnsi="Times New Roman" w:cs="Times New Roman"/>
                <w:b w:val="0"/>
                <w:noProof/>
                <w:color w:val="000000"/>
                <w:sz w:val="24"/>
                <w:szCs w:val="24"/>
                <w:lang w:val="sq-AL" w:eastAsia="sq-AL"/>
              </w:rPr>
            </w:pPr>
            <w:bookmarkStart w:id="10" w:name="_Toc64358763"/>
            <w:r w:rsidRPr="00A57145">
              <w:rPr>
                <w:rFonts w:ascii="Times New Roman" w:eastAsia="Times New Roman" w:hAnsi="Times New Roman" w:cs="Times New Roman"/>
                <w:noProof/>
                <w:color w:val="000000"/>
                <w:sz w:val="24"/>
                <w:szCs w:val="24"/>
                <w:lang w:val="sq-AL" w:eastAsia="sq-AL"/>
              </w:rPr>
              <w:lastRenderedPageBreak/>
              <w:t>11. Manaxhimi i cilësisë</w:t>
            </w:r>
            <w:bookmarkEnd w:id="10"/>
          </w:p>
        </w:tc>
      </w:tr>
      <w:tr w:rsidR="00BD6D4E" w:rsidRPr="00DE4BE4" w:rsidTr="00185CCC">
        <w:trPr>
          <w:trHeight w:val="3806"/>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11.1. Sigurimi i cilësisë </w:t>
            </w:r>
          </w:p>
        </w:tc>
        <w:tc>
          <w:tcPr>
            <w:tcW w:w="7953" w:type="dxa"/>
            <w:shd w:val="clear" w:color="auto" w:fill="auto"/>
            <w:vAlign w:val="center"/>
          </w:tcPr>
          <w:p w:rsidR="00BD6D4E" w:rsidRPr="00430D9B" w:rsidRDefault="009C4419"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C4419">
              <w:rPr>
                <w:rFonts w:ascii="Times New Roman" w:eastAsia="Times New Roman" w:hAnsi="Times New Roman" w:cs="Times New Roman"/>
                <w:noProof/>
                <w:color w:val="000000"/>
                <w:sz w:val="24"/>
                <w:szCs w:val="24"/>
                <w:lang w:val="sq-AL" w:eastAsia="sq-AL"/>
              </w:rPr>
              <w:t>INSTAT është i angazhuar për sigurimin e cilësisë në prodhimin e statistikave zyrtare. Duke u bazuar në ligjin “PËR STATISTIKAT ZYRTARE, Nr.17/2018, datë 05.04.2018”,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 së të intervistuarve.</w:t>
            </w:r>
          </w:p>
        </w:tc>
      </w:tr>
      <w:tr w:rsidR="00BD6D4E" w:rsidRPr="00DE4BE4" w:rsidTr="00185CCC">
        <w:trPr>
          <w:trHeight w:val="1268"/>
        </w:trPr>
        <w:tc>
          <w:tcPr>
            <w:tcW w:w="2453" w:type="dxa"/>
            <w:shd w:val="clear" w:color="auto" w:fill="FFFFCC"/>
            <w:noWrap/>
            <w:vAlign w:val="center"/>
            <w:hideMark/>
          </w:tcPr>
          <w:p w:rsidR="00BD6D4E" w:rsidRPr="00430D9B" w:rsidRDefault="00BD6D4E" w:rsidP="00B950C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11.2. Vlerësimi i cilësisë</w:t>
            </w:r>
          </w:p>
        </w:tc>
        <w:tc>
          <w:tcPr>
            <w:tcW w:w="7953" w:type="dxa"/>
            <w:shd w:val="clear" w:color="auto" w:fill="auto"/>
            <w:vAlign w:val="center"/>
          </w:tcPr>
          <w:p w:rsidR="00BD6D4E" w:rsidRPr="00430D9B" w:rsidRDefault="009C4419" w:rsidP="00185CCC">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9C4419">
              <w:rPr>
                <w:rFonts w:ascii="Times New Roman" w:eastAsia="Times New Roman" w:hAnsi="Times New Roman" w:cs="Times New Roman"/>
                <w:noProof/>
                <w:color w:val="000000"/>
                <w:sz w:val="24"/>
                <w:szCs w:val="24"/>
                <w:lang w:val="sq-AL" w:eastAsia="sq-AL"/>
              </w:rPr>
              <w:t>Të dhënat e ASN krahasohen me të dhënat e ASN në vitet e para për të dalluar nëse ka koherence të dhënash apo ka pasur ndryshime të mëdha. Në rastet e ndryshimeve përdoren të dhënat administrative për të konfirmuar situatën e rasteve kur hasen diferenca të mëdha të sjelljes së një viti me vitet e tjera.</w:t>
            </w:r>
          </w:p>
        </w:tc>
      </w:tr>
      <w:tr w:rsidR="00BD6D4E" w:rsidRPr="00430D9B" w:rsidTr="004767F6">
        <w:trPr>
          <w:trHeight w:val="613"/>
        </w:trPr>
        <w:tc>
          <w:tcPr>
            <w:tcW w:w="10406" w:type="dxa"/>
            <w:gridSpan w:val="2"/>
            <w:shd w:val="clear" w:color="auto" w:fill="FBD4B4" w:themeFill="accent6" w:themeFillTint="66"/>
            <w:noWrap/>
            <w:vAlign w:val="center"/>
            <w:hideMark/>
          </w:tcPr>
          <w:p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64358764"/>
            <w:r w:rsidRPr="00430D9B">
              <w:rPr>
                <w:rFonts w:ascii="Times New Roman" w:eastAsia="Times New Roman" w:hAnsi="Times New Roman" w:cs="Times New Roman"/>
                <w:noProof/>
                <w:color w:val="000000"/>
                <w:sz w:val="24"/>
                <w:szCs w:val="24"/>
                <w:lang w:val="sq-AL" w:eastAsia="sq-AL"/>
              </w:rPr>
              <w:t>12</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Rëndësia</w:t>
            </w:r>
            <w:bookmarkEnd w:id="11"/>
          </w:p>
        </w:tc>
      </w:tr>
      <w:tr w:rsidR="00BD6D4E" w:rsidRPr="00430D9B" w:rsidTr="00185CCC">
        <w:trPr>
          <w:trHeight w:val="5759"/>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12.1. Nevojat e përdoruesit</w:t>
            </w:r>
          </w:p>
        </w:tc>
        <w:tc>
          <w:tcPr>
            <w:tcW w:w="7953" w:type="dxa"/>
            <w:shd w:val="clear" w:color="auto" w:fill="auto"/>
            <w:vAlign w:val="center"/>
          </w:tcPr>
          <w:p w:rsidR="001B12BB" w:rsidRDefault="0098418E" w:rsidP="001B12B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41524">
              <w:rPr>
                <w:rFonts w:ascii="Times New Roman" w:eastAsia="Times New Roman" w:hAnsi="Times New Roman" w:cs="Times New Roman"/>
                <w:noProof/>
                <w:color w:val="000000"/>
                <w:sz w:val="24"/>
                <w:szCs w:val="24"/>
                <w:lang w:val="sq-AL" w:eastAsia="sq-AL"/>
              </w:rPr>
              <w:t>Përdoruesit e ASN-së ndahen në përdoru</w:t>
            </w:r>
            <w:r w:rsidR="00883F53">
              <w:rPr>
                <w:rFonts w:ascii="Times New Roman" w:eastAsia="Times New Roman" w:hAnsi="Times New Roman" w:cs="Times New Roman"/>
                <w:noProof/>
                <w:color w:val="000000"/>
                <w:sz w:val="24"/>
                <w:szCs w:val="24"/>
                <w:lang w:val="sq-AL" w:eastAsia="sq-AL"/>
              </w:rPr>
              <w:t>es të brendshëm dhe të jashtëm.</w:t>
            </w:r>
          </w:p>
          <w:p w:rsidR="00EE21A6" w:rsidRPr="002F71BE" w:rsidRDefault="0098418E" w:rsidP="002F71BE">
            <w:pPr>
              <w:pStyle w:val="ListParagraph"/>
              <w:numPr>
                <w:ilvl w:val="0"/>
                <w:numId w:val="19"/>
              </w:numPr>
              <w:spacing w:before="240" w:after="240"/>
              <w:ind w:right="86"/>
              <w:jc w:val="both"/>
              <w:rPr>
                <w:noProof/>
                <w:color w:val="000000"/>
                <w:lang w:val="sq-AL" w:eastAsia="sq-AL"/>
              </w:rPr>
            </w:pPr>
            <w:r w:rsidRPr="002F71BE">
              <w:rPr>
                <w:noProof/>
                <w:color w:val="000000"/>
                <w:lang w:val="sq-AL" w:eastAsia="sq-AL"/>
              </w:rPr>
              <w:t>Me përdorues të jashtëm nënkuptojmë:</w:t>
            </w:r>
          </w:p>
          <w:p w:rsidR="00EE21A6" w:rsidRDefault="0098418E" w:rsidP="002F71BE">
            <w:pPr>
              <w:pStyle w:val="ListParagraph"/>
              <w:numPr>
                <w:ilvl w:val="1"/>
                <w:numId w:val="11"/>
              </w:numPr>
              <w:spacing w:before="240" w:after="240"/>
              <w:ind w:left="720" w:right="86"/>
              <w:jc w:val="both"/>
              <w:rPr>
                <w:noProof/>
                <w:color w:val="000000"/>
                <w:lang w:val="sq-AL" w:eastAsia="sq-AL"/>
              </w:rPr>
            </w:pPr>
            <w:r w:rsidRPr="00644BCB">
              <w:rPr>
                <w:noProof/>
                <w:color w:val="000000"/>
                <w:lang w:val="sq-AL" w:eastAsia="sq-AL"/>
              </w:rPr>
              <w:t>Institucione të administratës publik</w:t>
            </w:r>
            <w:r w:rsidR="00EE21A6">
              <w:rPr>
                <w:noProof/>
                <w:color w:val="000000"/>
                <w:lang w:val="sq-AL" w:eastAsia="sq-AL"/>
              </w:rPr>
              <w:t>e</w:t>
            </w:r>
          </w:p>
          <w:p w:rsidR="00DE7115" w:rsidRPr="00644BCB" w:rsidRDefault="0098418E" w:rsidP="002F71BE">
            <w:pPr>
              <w:pStyle w:val="ListParagraph"/>
              <w:numPr>
                <w:ilvl w:val="1"/>
                <w:numId w:val="11"/>
              </w:numPr>
              <w:spacing w:before="240" w:after="240"/>
              <w:ind w:left="720" w:right="86"/>
              <w:jc w:val="both"/>
              <w:rPr>
                <w:noProof/>
                <w:color w:val="000000"/>
                <w:lang w:val="sq-AL" w:eastAsia="sq-AL"/>
              </w:rPr>
            </w:pPr>
            <w:r w:rsidRPr="00644BCB">
              <w:rPr>
                <w:noProof/>
                <w:color w:val="000000"/>
                <w:lang w:val="sq-AL" w:eastAsia="sq-AL"/>
              </w:rPr>
              <w:t xml:space="preserve">Universitetet </w:t>
            </w:r>
          </w:p>
          <w:p w:rsidR="00EE21A6" w:rsidRDefault="0098418E" w:rsidP="002F71BE">
            <w:pPr>
              <w:pStyle w:val="ListParagraph"/>
              <w:numPr>
                <w:ilvl w:val="1"/>
                <w:numId w:val="11"/>
              </w:numPr>
              <w:spacing w:before="240" w:after="240"/>
              <w:ind w:left="720" w:right="86"/>
              <w:jc w:val="both"/>
              <w:rPr>
                <w:noProof/>
                <w:color w:val="000000"/>
                <w:lang w:val="sq-AL" w:eastAsia="sq-AL"/>
              </w:rPr>
            </w:pPr>
            <w:r w:rsidRPr="00EE21A6">
              <w:rPr>
                <w:noProof/>
                <w:color w:val="000000"/>
                <w:lang w:val="sq-AL" w:eastAsia="sq-AL"/>
              </w:rPr>
              <w:t xml:space="preserve">Organizatat jo fitimprurëse kombëtare dhe ndërkombëtare </w:t>
            </w:r>
          </w:p>
          <w:p w:rsidR="00EE21A6" w:rsidRDefault="00EE21A6" w:rsidP="002F71BE">
            <w:pPr>
              <w:pStyle w:val="ListParagraph"/>
              <w:numPr>
                <w:ilvl w:val="1"/>
                <w:numId w:val="11"/>
              </w:numPr>
              <w:spacing w:before="240" w:after="240"/>
              <w:ind w:left="720" w:right="86"/>
              <w:jc w:val="both"/>
              <w:rPr>
                <w:noProof/>
                <w:color w:val="000000"/>
                <w:lang w:val="sq-AL" w:eastAsia="sq-AL"/>
              </w:rPr>
            </w:pPr>
            <w:r>
              <w:rPr>
                <w:noProof/>
                <w:color w:val="000000"/>
                <w:lang w:val="sq-AL" w:eastAsia="sq-AL"/>
              </w:rPr>
              <w:t xml:space="preserve">Bizneset </w:t>
            </w:r>
          </w:p>
          <w:p w:rsidR="002F71BE" w:rsidRDefault="0098418E" w:rsidP="002F71BE">
            <w:pPr>
              <w:pStyle w:val="ListParagraph"/>
              <w:numPr>
                <w:ilvl w:val="1"/>
                <w:numId w:val="11"/>
              </w:numPr>
              <w:spacing w:before="240" w:after="240"/>
              <w:ind w:left="720" w:right="86"/>
              <w:jc w:val="both"/>
              <w:rPr>
                <w:noProof/>
                <w:color w:val="000000"/>
                <w:lang w:val="sq-AL" w:eastAsia="sq-AL"/>
              </w:rPr>
            </w:pPr>
            <w:r w:rsidRPr="00EE21A6">
              <w:rPr>
                <w:noProof/>
                <w:color w:val="000000"/>
                <w:lang w:val="sq-AL" w:eastAsia="sq-AL"/>
              </w:rPr>
              <w:t xml:space="preserve">Kërkues, student edhe të tjerë grupe të ngjashme. </w:t>
            </w:r>
          </w:p>
          <w:p w:rsidR="00626614" w:rsidRDefault="0098418E" w:rsidP="002F71BE">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F71BE">
              <w:rPr>
                <w:rFonts w:ascii="Times New Roman" w:eastAsia="Times New Roman" w:hAnsi="Times New Roman" w:cs="Times New Roman"/>
                <w:noProof/>
                <w:color w:val="000000"/>
                <w:sz w:val="24"/>
                <w:szCs w:val="24"/>
                <w:lang w:val="sq-AL" w:eastAsia="sq-AL"/>
              </w:rPr>
              <w:t xml:space="preserve">Botimi i rezultateve të ASN-së dërgohet çdo vit në një grup të caktuar përdoruesish. Disa tregues kryesorë dërgohen nga plotësimi i pyetësorëve të ndryshëm në Komisionin Europian, Enterprise and Industry Directorate-General, OECD, etj. </w:t>
            </w:r>
          </w:p>
          <w:p w:rsidR="002F71BE" w:rsidRPr="002F71BE" w:rsidRDefault="002F71BE" w:rsidP="002F71BE">
            <w:pPr>
              <w:pStyle w:val="ListParagraph"/>
              <w:numPr>
                <w:ilvl w:val="0"/>
                <w:numId w:val="19"/>
              </w:numPr>
              <w:spacing w:before="240" w:after="240"/>
              <w:ind w:right="86"/>
              <w:jc w:val="both"/>
              <w:rPr>
                <w:noProof/>
                <w:color w:val="000000"/>
                <w:lang w:val="sq-AL" w:eastAsia="sq-AL"/>
              </w:rPr>
            </w:pPr>
            <w:r w:rsidRPr="002F71BE">
              <w:rPr>
                <w:noProof/>
                <w:color w:val="000000"/>
                <w:lang w:val="sq-AL" w:eastAsia="sq-AL"/>
              </w:rPr>
              <w:t>Me përdorues të brendshëm nënkuptojmë:</w:t>
            </w:r>
          </w:p>
          <w:p w:rsidR="002F71BE" w:rsidRDefault="002F71BE" w:rsidP="002F71BE">
            <w:pPr>
              <w:pStyle w:val="ListParagraph"/>
              <w:numPr>
                <w:ilvl w:val="1"/>
                <w:numId w:val="11"/>
              </w:numPr>
              <w:spacing w:before="240" w:after="240"/>
              <w:ind w:left="720" w:right="86"/>
              <w:jc w:val="both"/>
              <w:rPr>
                <w:noProof/>
                <w:color w:val="000000"/>
                <w:lang w:val="sq-AL" w:eastAsia="sq-AL"/>
              </w:rPr>
            </w:pPr>
            <w:r>
              <w:rPr>
                <w:noProof/>
                <w:color w:val="000000"/>
                <w:lang w:val="sq-AL" w:eastAsia="sq-AL"/>
              </w:rPr>
              <w:t>Drejtoria e Llogarive Kombëtare</w:t>
            </w:r>
          </w:p>
          <w:p w:rsidR="00BD6D4E" w:rsidRDefault="002F71BE" w:rsidP="002F71BE">
            <w:pPr>
              <w:pStyle w:val="ListParagraph"/>
              <w:numPr>
                <w:ilvl w:val="1"/>
                <w:numId w:val="11"/>
              </w:numPr>
              <w:spacing w:before="240" w:after="240"/>
              <w:ind w:left="720" w:right="86"/>
              <w:jc w:val="both"/>
              <w:rPr>
                <w:noProof/>
                <w:color w:val="000000"/>
                <w:lang w:val="sq-AL" w:eastAsia="sq-AL"/>
              </w:rPr>
            </w:pPr>
            <w:r>
              <w:rPr>
                <w:noProof/>
                <w:color w:val="000000"/>
                <w:lang w:val="sq-AL" w:eastAsia="sq-AL"/>
              </w:rPr>
              <w:t>Sektori i Statistikave Afat-Shkurtra</w:t>
            </w:r>
          </w:p>
          <w:p w:rsidR="002F71BE" w:rsidRDefault="002F71BE" w:rsidP="002F71BE">
            <w:pPr>
              <w:pStyle w:val="ListParagraph"/>
              <w:numPr>
                <w:ilvl w:val="1"/>
                <w:numId w:val="11"/>
              </w:numPr>
              <w:spacing w:before="240" w:after="240"/>
              <w:ind w:left="720" w:right="86"/>
              <w:jc w:val="both"/>
              <w:rPr>
                <w:noProof/>
                <w:color w:val="000000"/>
                <w:lang w:val="sq-AL" w:eastAsia="sq-AL"/>
              </w:rPr>
            </w:pPr>
            <w:r>
              <w:rPr>
                <w:noProof/>
                <w:color w:val="000000"/>
                <w:lang w:val="sq-AL" w:eastAsia="sq-AL"/>
              </w:rPr>
              <w:t>Sektori i Regjistrit statistikor të Ndërmarrjeve</w:t>
            </w:r>
          </w:p>
          <w:p w:rsidR="002F71BE" w:rsidRDefault="002F71BE" w:rsidP="002F71BE">
            <w:pPr>
              <w:pStyle w:val="ListParagraph"/>
              <w:numPr>
                <w:ilvl w:val="1"/>
                <w:numId w:val="11"/>
              </w:numPr>
              <w:spacing w:before="240" w:after="240"/>
              <w:ind w:left="720" w:right="86"/>
              <w:jc w:val="both"/>
              <w:rPr>
                <w:noProof/>
                <w:color w:val="000000"/>
                <w:lang w:val="sq-AL" w:eastAsia="sq-AL"/>
              </w:rPr>
            </w:pPr>
            <w:r>
              <w:rPr>
                <w:noProof/>
                <w:color w:val="000000"/>
                <w:lang w:val="sq-AL" w:eastAsia="sq-AL"/>
              </w:rPr>
              <w:t>Sektori i Statistikave të Tregut të punës</w:t>
            </w:r>
          </w:p>
          <w:p w:rsidR="002F71BE" w:rsidRPr="002F71BE" w:rsidRDefault="002F71BE" w:rsidP="009D61C0">
            <w:pPr>
              <w:pStyle w:val="ListParagraph"/>
              <w:spacing w:before="240" w:after="240"/>
              <w:ind w:right="86"/>
              <w:jc w:val="both"/>
              <w:rPr>
                <w:noProof/>
                <w:color w:val="000000"/>
                <w:lang w:val="sq-AL" w:eastAsia="sq-AL"/>
              </w:rPr>
            </w:pPr>
          </w:p>
        </w:tc>
      </w:tr>
      <w:tr w:rsidR="00BD6D4E" w:rsidRPr="00DE4BE4" w:rsidTr="00883F53">
        <w:trPr>
          <w:trHeight w:val="71"/>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12.2. Kënaqësia e përdoruesit</w:t>
            </w:r>
          </w:p>
        </w:tc>
        <w:tc>
          <w:tcPr>
            <w:tcW w:w="7953" w:type="dxa"/>
            <w:shd w:val="clear" w:color="auto" w:fill="auto"/>
            <w:noWrap/>
            <w:vAlign w:val="center"/>
            <w:hideMark/>
          </w:tcPr>
          <w:p w:rsidR="00185CCC" w:rsidRDefault="00EE3E27" w:rsidP="00185CCC">
            <w:pPr>
              <w:spacing w:before="240" w:after="0" w:line="240" w:lineRule="auto"/>
              <w:ind w:left="101" w:right="86"/>
              <w:jc w:val="both"/>
              <w:rPr>
                <w:rFonts w:ascii="Times New Roman" w:eastAsia="Times New Roman" w:hAnsi="Times New Roman" w:cs="Times New Roman"/>
                <w:noProof/>
                <w:sz w:val="24"/>
                <w:szCs w:val="24"/>
                <w:lang w:val="sq-AL" w:eastAsia="sq-AL"/>
              </w:rPr>
            </w:pPr>
            <w:r w:rsidRPr="00EE3E27">
              <w:rPr>
                <w:rFonts w:ascii="Times New Roman" w:eastAsia="Times New Roman" w:hAnsi="Times New Roman" w:cs="Times New Roman"/>
                <w:noProof/>
                <w:sz w:val="24"/>
                <w:szCs w:val="24"/>
                <w:lang w:val="sq-AL" w:eastAsia="sq-AL"/>
              </w:rPr>
              <w:t xml:space="preserve">Page Views (Klikime) në lidhje me </w:t>
            </w:r>
            <w:r w:rsidR="00A63EEE" w:rsidRPr="0045100E">
              <w:rPr>
                <w:rFonts w:ascii="Times New Roman" w:eastAsia="Times New Roman" w:hAnsi="Times New Roman" w:cs="Times New Roman"/>
                <w:noProof/>
                <w:sz w:val="24"/>
                <w:szCs w:val="24"/>
                <w:lang w:val="sq-AL" w:eastAsia="sq-AL"/>
              </w:rPr>
              <w:t>Statistikat Strukturore të Ndërmarrjeve Ekonomike</w:t>
            </w:r>
            <w:r w:rsidRPr="00EE3E27">
              <w:rPr>
                <w:rFonts w:ascii="Times New Roman" w:eastAsia="Times New Roman" w:hAnsi="Times New Roman" w:cs="Times New Roman"/>
                <w:noProof/>
                <w:sz w:val="24"/>
                <w:szCs w:val="24"/>
                <w:lang w:val="sq-AL" w:eastAsia="sq-AL"/>
              </w:rPr>
              <w:t xml:space="preserve"> për vitin</w:t>
            </w:r>
            <w:r w:rsidR="00185CCC">
              <w:rPr>
                <w:rFonts w:ascii="Times New Roman" w:eastAsia="Times New Roman" w:hAnsi="Times New Roman" w:cs="Times New Roman"/>
                <w:noProof/>
                <w:sz w:val="24"/>
                <w:szCs w:val="24"/>
                <w:lang w:val="sq-AL" w:eastAsia="sq-AL"/>
              </w:rPr>
              <w:t xml:space="preserve"> 2020 janë rreth 8,095 klikime.</w:t>
            </w:r>
          </w:p>
          <w:p w:rsidR="00BD6D4E" w:rsidRDefault="00A63EEE" w:rsidP="002B4C1D">
            <w:pPr>
              <w:spacing w:before="240" w:after="0" w:line="240" w:lineRule="auto"/>
              <w:ind w:left="101" w:right="86"/>
              <w:jc w:val="both"/>
              <w:rPr>
                <w:rFonts w:ascii="Times New Roman" w:eastAsia="Times New Roman" w:hAnsi="Times New Roman" w:cs="Times New Roman"/>
                <w:noProof/>
                <w:sz w:val="24"/>
                <w:szCs w:val="24"/>
                <w:lang w:val="sq-AL" w:eastAsia="sq-AL"/>
              </w:rPr>
            </w:pPr>
            <w:r w:rsidRPr="00A63EEE">
              <w:rPr>
                <w:rFonts w:ascii="Times New Roman" w:eastAsia="Times New Roman" w:hAnsi="Times New Roman" w:cs="Times New Roman"/>
                <w:noProof/>
                <w:sz w:val="24"/>
                <w:szCs w:val="24"/>
                <w:lang w:val="sq-AL" w:eastAsia="sq-AL"/>
              </w:rPr>
              <w:t>Gjatë 2020 INSTAT ka kryer vrojtimin për matjen e kënaqësisë së përdo</w:t>
            </w:r>
            <w:r>
              <w:rPr>
                <w:rFonts w:ascii="Times New Roman" w:eastAsia="Times New Roman" w:hAnsi="Times New Roman" w:cs="Times New Roman"/>
                <w:noProof/>
                <w:sz w:val="24"/>
                <w:szCs w:val="24"/>
                <w:lang w:val="sq-AL" w:eastAsia="sq-AL"/>
              </w:rPr>
              <w:t>ruesve</w:t>
            </w:r>
            <w:r w:rsidR="0098418E" w:rsidRPr="0045100E">
              <w:rPr>
                <w:rFonts w:ascii="Times New Roman" w:eastAsia="Times New Roman" w:hAnsi="Times New Roman" w:cs="Times New Roman"/>
                <w:noProof/>
                <w:sz w:val="24"/>
                <w:szCs w:val="24"/>
                <w:lang w:val="sq-AL" w:eastAsia="sq-AL"/>
              </w:rPr>
              <w:t>. Rezultatet e vrojtimit</w:t>
            </w:r>
            <w:r w:rsidR="00817B67" w:rsidRPr="0045100E">
              <w:rPr>
                <w:rFonts w:ascii="Times New Roman" w:eastAsia="Times New Roman" w:hAnsi="Times New Roman" w:cs="Times New Roman"/>
                <w:noProof/>
                <w:sz w:val="24"/>
                <w:szCs w:val="24"/>
                <w:lang w:val="sq-AL" w:eastAsia="sq-AL"/>
              </w:rPr>
              <w:t xml:space="preserve"> p</w:t>
            </w:r>
            <w:r>
              <w:rPr>
                <w:rFonts w:ascii="Times New Roman" w:eastAsia="Times New Roman" w:hAnsi="Times New Roman" w:cs="Times New Roman"/>
                <w:noProof/>
                <w:sz w:val="24"/>
                <w:szCs w:val="24"/>
                <w:lang w:val="sq-AL" w:eastAsia="sq-AL"/>
              </w:rPr>
              <w:t>ë</w:t>
            </w:r>
            <w:r w:rsidR="00817B67" w:rsidRPr="0045100E">
              <w:rPr>
                <w:rFonts w:ascii="Times New Roman" w:eastAsia="Times New Roman" w:hAnsi="Times New Roman" w:cs="Times New Roman"/>
                <w:noProof/>
                <w:sz w:val="24"/>
                <w:szCs w:val="24"/>
                <w:lang w:val="sq-AL" w:eastAsia="sq-AL"/>
              </w:rPr>
              <w:t>r 20</w:t>
            </w:r>
            <w:r w:rsidR="00682060" w:rsidRPr="0045100E">
              <w:rPr>
                <w:rFonts w:ascii="Times New Roman" w:eastAsia="Times New Roman" w:hAnsi="Times New Roman" w:cs="Times New Roman"/>
                <w:noProof/>
                <w:sz w:val="24"/>
                <w:szCs w:val="24"/>
                <w:lang w:val="sq-AL" w:eastAsia="sq-AL"/>
              </w:rPr>
              <w:t>20</w:t>
            </w:r>
            <w:r w:rsidR="0098418E" w:rsidRPr="0045100E">
              <w:rPr>
                <w:rFonts w:ascii="Times New Roman" w:eastAsia="Times New Roman" w:hAnsi="Times New Roman" w:cs="Times New Roman"/>
                <w:noProof/>
                <w:sz w:val="24"/>
                <w:szCs w:val="24"/>
                <w:lang w:val="sq-AL" w:eastAsia="sq-AL"/>
              </w:rPr>
              <w:t xml:space="preserve"> tregojnë se cilësia e përgjithshme e temës "</w:t>
            </w:r>
            <w:r w:rsidR="00817B67" w:rsidRPr="0045100E">
              <w:rPr>
                <w:rFonts w:ascii="Times New Roman" w:eastAsia="Times New Roman" w:hAnsi="Times New Roman" w:cs="Times New Roman"/>
                <w:noProof/>
                <w:sz w:val="24"/>
                <w:szCs w:val="24"/>
                <w:lang w:val="sq-AL" w:eastAsia="sq-AL"/>
              </w:rPr>
              <w:t>Statistikat Strukturore të</w:t>
            </w:r>
            <w:r w:rsidR="0098418E" w:rsidRPr="0045100E">
              <w:rPr>
                <w:rFonts w:ascii="Times New Roman" w:eastAsia="Times New Roman" w:hAnsi="Times New Roman" w:cs="Times New Roman"/>
                <w:noProof/>
                <w:sz w:val="24"/>
                <w:szCs w:val="24"/>
                <w:lang w:val="sq-AL" w:eastAsia="sq-AL"/>
              </w:rPr>
              <w:t xml:space="preserve"> Ndërmarrjeve</w:t>
            </w:r>
            <w:r w:rsidR="009D757C" w:rsidRPr="0045100E">
              <w:rPr>
                <w:rFonts w:ascii="Times New Roman" w:eastAsia="Times New Roman" w:hAnsi="Times New Roman" w:cs="Times New Roman"/>
                <w:noProof/>
                <w:sz w:val="24"/>
                <w:szCs w:val="24"/>
                <w:lang w:val="sq-AL" w:eastAsia="sq-AL"/>
              </w:rPr>
              <w:t xml:space="preserve"> Ekonomike</w:t>
            </w:r>
            <w:r w:rsidR="0098418E" w:rsidRPr="0045100E">
              <w:rPr>
                <w:rFonts w:ascii="Times New Roman" w:eastAsia="Times New Roman" w:hAnsi="Times New Roman" w:cs="Times New Roman"/>
                <w:noProof/>
                <w:sz w:val="24"/>
                <w:szCs w:val="24"/>
                <w:lang w:val="sq-AL" w:eastAsia="sq-AL"/>
              </w:rPr>
              <w:t>" është vlerësuar me 3.</w:t>
            </w:r>
            <w:r w:rsidR="0083623C" w:rsidRPr="0045100E">
              <w:rPr>
                <w:rFonts w:ascii="Times New Roman" w:eastAsia="Times New Roman" w:hAnsi="Times New Roman" w:cs="Times New Roman"/>
                <w:noProof/>
                <w:sz w:val="24"/>
                <w:szCs w:val="24"/>
                <w:lang w:val="sq-AL" w:eastAsia="sq-AL"/>
              </w:rPr>
              <w:t>75 (75</w:t>
            </w:r>
            <w:r w:rsidR="0083623C" w:rsidRPr="00ED76AA">
              <w:rPr>
                <w:rFonts w:ascii="Times New Roman" w:hAnsi="Times New Roman" w:cs="Times New Roman"/>
                <w:sz w:val="24"/>
                <w:lang w:val="sq-AL"/>
              </w:rPr>
              <w:t>%)</w:t>
            </w:r>
            <w:r w:rsidR="0098418E" w:rsidRPr="0045100E">
              <w:rPr>
                <w:rFonts w:ascii="Times New Roman" w:eastAsia="Times New Roman" w:hAnsi="Times New Roman" w:cs="Times New Roman"/>
                <w:noProof/>
                <w:sz w:val="24"/>
                <w:szCs w:val="24"/>
                <w:lang w:val="sq-AL" w:eastAsia="sq-AL"/>
              </w:rPr>
              <w:t xml:space="preserve"> nga një shkalle prej 1 (</w:t>
            </w:r>
            <w:r w:rsidR="00EE3E27">
              <w:rPr>
                <w:rFonts w:ascii="Times New Roman" w:eastAsia="Times New Roman" w:hAnsi="Times New Roman" w:cs="Times New Roman"/>
                <w:noProof/>
                <w:sz w:val="24"/>
                <w:szCs w:val="24"/>
                <w:lang w:val="sq-AL" w:eastAsia="sq-AL"/>
              </w:rPr>
              <w:t>shumë dobët) në 5 (shumë mirë).</w:t>
            </w:r>
          </w:p>
          <w:p w:rsidR="00A63EEE" w:rsidRPr="00185CCC" w:rsidRDefault="00A63EEE" w:rsidP="002B4C1D">
            <w:pPr>
              <w:spacing w:before="240" w:line="240" w:lineRule="auto"/>
              <w:ind w:left="101" w:right="86"/>
              <w:jc w:val="both"/>
              <w:rPr>
                <w:rFonts w:ascii="Times New Roman" w:eastAsia="Times New Roman" w:hAnsi="Times New Roman" w:cs="Times New Roman"/>
                <w:noProof/>
                <w:sz w:val="24"/>
                <w:szCs w:val="24"/>
                <w:lang w:val="sq-AL" w:eastAsia="sq-AL"/>
              </w:rPr>
            </w:pPr>
            <w:r w:rsidRPr="00E00B02">
              <w:rPr>
                <w:rFonts w:ascii="Times New Roman" w:eastAsia="Times New Roman" w:hAnsi="Times New Roman" w:cs="Times New Roman"/>
                <w:color w:val="000000" w:themeColor="text1"/>
                <w:sz w:val="24"/>
                <w:szCs w:val="24"/>
                <w:lang w:val="sq-AL" w:eastAsia="en-GB"/>
              </w:rPr>
              <w:lastRenderedPageBreak/>
              <w:t>INSTAT organizon cdo vit</w:t>
            </w:r>
            <w:r w:rsidRPr="00D775D3">
              <w:rPr>
                <w:rFonts w:ascii="Times New Roman" w:eastAsia="Times New Roman" w:hAnsi="Times New Roman" w:cs="Times New Roman"/>
                <w:color w:val="000000" w:themeColor="text1"/>
                <w:sz w:val="24"/>
                <w:szCs w:val="24"/>
                <w:lang w:val="sq-AL" w:eastAsia="en-GB"/>
              </w:rPr>
              <w:t xml:space="preserve"> </w:t>
            </w:r>
            <w:hyperlink r:id="rId25" w:history="1">
              <w:r w:rsidRPr="00D775D3">
                <w:rPr>
                  <w:rStyle w:val="Hyperlink"/>
                  <w:rFonts w:ascii="Times New Roman" w:eastAsia="Times New Roman" w:hAnsi="Times New Roman" w:cs="Times New Roman"/>
                  <w:sz w:val="24"/>
                  <w:szCs w:val="24"/>
                  <w:lang w:val="sq-AL" w:eastAsia="en-GB"/>
                </w:rPr>
                <w:t>Anketën e Kënaqësisë se Përdoruesve</w:t>
              </w:r>
            </w:hyperlink>
            <w:r>
              <w:rPr>
                <w:rStyle w:val="Hyperlink"/>
                <w:rFonts w:ascii="Times New Roman" w:eastAsia="Times New Roman" w:hAnsi="Times New Roman" w:cs="Times New Roman"/>
                <w:sz w:val="24"/>
                <w:szCs w:val="24"/>
                <w:lang w:val="sq-AL" w:eastAsia="en-GB"/>
              </w:rPr>
              <w:t>.</w:t>
            </w:r>
          </w:p>
        </w:tc>
      </w:tr>
      <w:tr w:rsidR="00BD6D4E" w:rsidRPr="00DE4BE4" w:rsidTr="00185CCC">
        <w:trPr>
          <w:trHeight w:val="6101"/>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12.3. Plotshmëria</w:t>
            </w:r>
          </w:p>
        </w:tc>
        <w:tc>
          <w:tcPr>
            <w:tcW w:w="7953" w:type="dxa"/>
            <w:shd w:val="clear" w:color="auto" w:fill="auto"/>
            <w:noWrap/>
            <w:vAlign w:val="center"/>
            <w:hideMark/>
          </w:tcPr>
          <w:p w:rsidR="00626614" w:rsidRDefault="0098418E" w:rsidP="00643132">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 xml:space="preserve">Plotshmëria e të dhënave të ASN-së gjykohet duke krahasuar cilësinë dhe sasinë e treguesve të mbuluar në INSTAT nga ato të rregulloreve të ndjekura. Rezultatet e statistikave strukturore të ndërmarrjeve në mënyrë që të jenë të krahasueshme me ato të vendeve evropiane, prodhohen duke zbatuar edhe rregulloret e reja të Komisionit Evropian, KE: </w:t>
            </w:r>
          </w:p>
          <w:p w:rsidR="00644BCB" w:rsidRPr="006666FF" w:rsidRDefault="0098418E" w:rsidP="00643132">
            <w:pPr>
              <w:pStyle w:val="ListParagraph"/>
              <w:numPr>
                <w:ilvl w:val="0"/>
                <w:numId w:val="10"/>
              </w:numPr>
              <w:spacing w:after="240"/>
              <w:ind w:left="562" w:right="86"/>
              <w:jc w:val="both"/>
              <w:rPr>
                <w:noProof/>
                <w:color w:val="000000"/>
                <w:lang w:val="sq-AL" w:eastAsia="sq-AL"/>
              </w:rPr>
            </w:pPr>
            <w:r w:rsidRPr="006666FF">
              <w:rPr>
                <w:noProof/>
                <w:color w:val="000000"/>
                <w:lang w:val="sq-AL" w:eastAsia="sq-AL"/>
              </w:rPr>
              <w:t xml:space="preserve">Rregulloren e KE Nr. 1893/2006 mbi “Implementimin e Nomenklaturës së Veprimtarive Ekonomike, NVE Rev.2 në Statistikat Strukturore të Ndërmarrjeve; </w:t>
            </w:r>
          </w:p>
          <w:p w:rsidR="00644BCB" w:rsidRPr="006666FF" w:rsidRDefault="0098418E" w:rsidP="00644BCB">
            <w:pPr>
              <w:pStyle w:val="ListParagraph"/>
              <w:numPr>
                <w:ilvl w:val="0"/>
                <w:numId w:val="10"/>
              </w:numPr>
              <w:spacing w:before="240" w:after="240"/>
              <w:ind w:left="562" w:right="86"/>
              <w:jc w:val="both"/>
              <w:rPr>
                <w:noProof/>
                <w:color w:val="000000"/>
                <w:lang w:val="sq-AL" w:eastAsia="sq-AL"/>
              </w:rPr>
            </w:pPr>
            <w:r w:rsidRPr="006666FF">
              <w:rPr>
                <w:noProof/>
                <w:color w:val="000000"/>
                <w:lang w:val="sq-AL" w:eastAsia="sq-AL"/>
              </w:rPr>
              <w:t xml:space="preserve">Rregulloren e KE Nr.295/2008 mbi “Statistikat Strukturore të Ndërmarrjeve”; </w:t>
            </w:r>
          </w:p>
          <w:p w:rsidR="006666FF" w:rsidRDefault="0098418E" w:rsidP="006666FF">
            <w:pPr>
              <w:pStyle w:val="ListParagraph"/>
              <w:numPr>
                <w:ilvl w:val="0"/>
                <w:numId w:val="10"/>
              </w:numPr>
              <w:spacing w:before="240" w:after="240"/>
              <w:ind w:left="562" w:right="86"/>
              <w:jc w:val="both"/>
              <w:rPr>
                <w:noProof/>
                <w:color w:val="000000"/>
                <w:lang w:val="sq-AL" w:eastAsia="sq-AL"/>
              </w:rPr>
            </w:pPr>
            <w:r w:rsidRPr="00644BCB">
              <w:rPr>
                <w:noProof/>
                <w:color w:val="000000"/>
                <w:lang w:val="sq-AL" w:eastAsia="sq-AL"/>
              </w:rPr>
              <w:t xml:space="preserve">Rregulloren e KE Nr.250/2009 mbi “Përkufizimet e përdorura në Statistikat Strukturore të Ndërmarrjeve” </w:t>
            </w:r>
          </w:p>
          <w:p w:rsidR="006666FF" w:rsidRPr="00647E89" w:rsidRDefault="0098418E" w:rsidP="006666FF">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666FF">
              <w:rPr>
                <w:rFonts w:ascii="Times New Roman" w:eastAsia="Times New Roman" w:hAnsi="Times New Roman" w:cs="Times New Roman"/>
                <w:noProof/>
                <w:color w:val="000000"/>
                <w:sz w:val="24"/>
                <w:szCs w:val="24"/>
                <w:lang w:val="sq-AL" w:eastAsia="sq-AL"/>
              </w:rPr>
              <w:t xml:space="preserve">Vlera e Shtuar e llogaritur në ASN i referohet vlerës së shtuar me çmime bazë. Kërkesat e KE janë të llogaritet Vlera e Shtuar at factor cost, të cilën INSTAT nuk mundet ende ta llogaritë për shkak të mungesës së informacionit </w:t>
            </w:r>
            <w:r w:rsidRPr="00647E89">
              <w:rPr>
                <w:rFonts w:ascii="Times New Roman" w:eastAsia="Times New Roman" w:hAnsi="Times New Roman" w:cs="Times New Roman"/>
                <w:noProof/>
                <w:color w:val="000000"/>
                <w:sz w:val="24"/>
                <w:szCs w:val="24"/>
                <w:lang w:val="sq-AL" w:eastAsia="sq-AL"/>
              </w:rPr>
              <w:t xml:space="preserve">të taksave dhe subvencioneve mbi produktet. </w:t>
            </w:r>
          </w:p>
          <w:p w:rsidR="00BD6D4E" w:rsidRPr="006666FF" w:rsidRDefault="0098418E" w:rsidP="006666FF">
            <w:pPr>
              <w:spacing w:before="240" w:after="240" w:line="240" w:lineRule="auto"/>
              <w:ind w:left="101" w:right="86"/>
              <w:jc w:val="both"/>
              <w:rPr>
                <w:noProof/>
                <w:color w:val="000000"/>
                <w:lang w:val="sq-AL" w:eastAsia="sq-AL"/>
              </w:rPr>
            </w:pPr>
            <w:r w:rsidRPr="00647E89">
              <w:rPr>
                <w:rFonts w:ascii="Times New Roman" w:eastAsia="Times New Roman" w:hAnsi="Times New Roman" w:cs="Times New Roman"/>
                <w:noProof/>
                <w:color w:val="000000"/>
                <w:sz w:val="24"/>
                <w:szCs w:val="24"/>
                <w:lang w:val="sq-AL" w:eastAsia="sq-AL"/>
              </w:rPr>
              <w:t>Shkalla e Plotshmërisë të të dhënave, për Anketën Strukt</w:t>
            </w:r>
            <w:r w:rsidR="00ED76AA" w:rsidRPr="00647E89">
              <w:rPr>
                <w:rFonts w:ascii="Times New Roman" w:eastAsia="Times New Roman" w:hAnsi="Times New Roman" w:cs="Times New Roman"/>
                <w:noProof/>
                <w:color w:val="000000"/>
                <w:sz w:val="24"/>
                <w:szCs w:val="24"/>
                <w:lang w:val="sq-AL" w:eastAsia="sq-AL"/>
              </w:rPr>
              <w:t>urore të Ndërmarrjeve (ASN) 2019</w:t>
            </w:r>
            <w:r w:rsidRPr="00647E89">
              <w:rPr>
                <w:rFonts w:ascii="Times New Roman" w:eastAsia="Times New Roman" w:hAnsi="Times New Roman" w:cs="Times New Roman"/>
                <w:noProof/>
                <w:color w:val="000000"/>
                <w:sz w:val="24"/>
                <w:szCs w:val="24"/>
                <w:lang w:val="sq-AL" w:eastAsia="sq-AL"/>
              </w:rPr>
              <w:t>, është 75%. Kjo përllogaritje ka marr në konsideratë vetëm aneksin nga I-IV që kërkohen nga EUROSTAT.</w:t>
            </w:r>
          </w:p>
        </w:tc>
      </w:tr>
      <w:tr w:rsidR="00BD6D4E" w:rsidRPr="00430D9B" w:rsidTr="004767F6">
        <w:trPr>
          <w:trHeight w:val="748"/>
        </w:trPr>
        <w:tc>
          <w:tcPr>
            <w:tcW w:w="10406" w:type="dxa"/>
            <w:gridSpan w:val="2"/>
            <w:shd w:val="clear" w:color="auto" w:fill="FBD4B4" w:themeFill="accent6" w:themeFillTint="66"/>
            <w:noWrap/>
            <w:vAlign w:val="center"/>
            <w:hideMark/>
          </w:tcPr>
          <w:p w:rsidR="00C45F09" w:rsidRPr="00FB235A" w:rsidRDefault="00BD6D4E" w:rsidP="00807B81">
            <w:pPr>
              <w:pStyle w:val="Heading1"/>
              <w:spacing w:before="240" w:after="240" w:line="240" w:lineRule="auto"/>
              <w:ind w:left="101" w:right="86"/>
              <w:jc w:val="both"/>
              <w:rPr>
                <w:rFonts w:ascii="Times New Roman" w:eastAsia="Times New Roman" w:hAnsi="Times New Roman" w:cs="Times New Roman"/>
                <w:b w:val="0"/>
                <w:noProof/>
                <w:color w:val="000000"/>
                <w:sz w:val="24"/>
                <w:szCs w:val="24"/>
                <w:lang w:val="sq-AL" w:eastAsia="sq-AL"/>
              </w:rPr>
            </w:pPr>
            <w:bookmarkStart w:id="12" w:name="_Toc64358765"/>
            <w:r w:rsidRPr="00FB235A">
              <w:rPr>
                <w:rFonts w:ascii="Times New Roman" w:eastAsia="Times New Roman" w:hAnsi="Times New Roman" w:cs="Times New Roman"/>
                <w:noProof/>
                <w:color w:val="000000"/>
                <w:sz w:val="24"/>
                <w:szCs w:val="24"/>
                <w:lang w:val="sq-AL" w:eastAsia="sq-AL"/>
              </w:rPr>
              <w:t>13. Saktësia dhe besueshmëria</w:t>
            </w:r>
            <w:bookmarkEnd w:id="12"/>
          </w:p>
        </w:tc>
      </w:tr>
      <w:tr w:rsidR="00BD6D4E" w:rsidRPr="00DE4BE4" w:rsidTr="00185CCC">
        <w:trPr>
          <w:trHeight w:val="341"/>
        </w:trPr>
        <w:tc>
          <w:tcPr>
            <w:tcW w:w="2453" w:type="dxa"/>
            <w:shd w:val="clear" w:color="auto" w:fill="FFFFCC"/>
            <w:noWrap/>
            <w:vAlign w:val="center"/>
            <w:hideMark/>
          </w:tcPr>
          <w:p w:rsidR="00BD6D4E" w:rsidRPr="00430D9B" w:rsidRDefault="00BD6D4E" w:rsidP="00C45F0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13.1. Saktësia e përgjithshme</w:t>
            </w:r>
          </w:p>
        </w:tc>
        <w:tc>
          <w:tcPr>
            <w:tcW w:w="7953" w:type="dxa"/>
            <w:shd w:val="clear" w:color="auto" w:fill="auto"/>
            <w:vAlign w:val="center"/>
          </w:tcPr>
          <w:p w:rsidR="00626614" w:rsidRDefault="0098418E" w:rsidP="00C37EA7">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 xml:space="preserve">Në përgjithësi, të dhënat janë kontrolluar me vitet e mëparshme për të identifikuar ndonjë ndryshim të rëndësishme në ecurinë e të dhënave. Në rastet kur hasen ndryshime të dhënat e anketës kontrollohen me pasqyrat financiare ose me burime administrative nëse ka informacion. Kur nuk ka informacion nga burimet administrative INSTAT korrigjon ose konfirmon të dhënat duke përdorur email ose duke telefonuar personat që i janë përgjigjur anketës. Masat e marra nga INSTAT çdo vit, për të rritur normat e përgjigjes, ose për të zvogëluar ndikimin e mos përgjigjeve janë si më poshtë: </w:t>
            </w:r>
          </w:p>
          <w:p w:rsidR="00626614" w:rsidRPr="00644BCB" w:rsidRDefault="0098418E" w:rsidP="00C37EA7">
            <w:pPr>
              <w:pStyle w:val="ListParagraph"/>
              <w:numPr>
                <w:ilvl w:val="0"/>
                <w:numId w:val="10"/>
              </w:numPr>
              <w:ind w:right="86"/>
              <w:jc w:val="both"/>
              <w:rPr>
                <w:noProof/>
                <w:color w:val="000000"/>
                <w:lang w:val="sq-AL" w:eastAsia="sq-AL"/>
              </w:rPr>
            </w:pPr>
            <w:r w:rsidRPr="00644BCB">
              <w:rPr>
                <w:noProof/>
                <w:color w:val="000000"/>
                <w:lang w:val="sq-AL" w:eastAsia="sq-AL"/>
              </w:rPr>
              <w:t xml:space="preserve">Të dhënat merren drejtpërdrejt nga ndërmarrja </w:t>
            </w:r>
          </w:p>
          <w:p w:rsidR="00626614" w:rsidRPr="00644BCB" w:rsidRDefault="0098418E" w:rsidP="00C45F09">
            <w:pPr>
              <w:pStyle w:val="ListParagraph"/>
              <w:numPr>
                <w:ilvl w:val="0"/>
                <w:numId w:val="10"/>
              </w:numPr>
              <w:spacing w:before="240"/>
              <w:ind w:right="86"/>
              <w:jc w:val="both"/>
              <w:rPr>
                <w:noProof/>
                <w:color w:val="000000"/>
                <w:lang w:val="sq-AL" w:eastAsia="sq-AL"/>
              </w:rPr>
            </w:pPr>
            <w:r w:rsidRPr="00644BCB">
              <w:rPr>
                <w:noProof/>
                <w:color w:val="000000"/>
                <w:lang w:val="sq-AL" w:eastAsia="sq-AL"/>
              </w:rPr>
              <w:t xml:space="preserve">Informacioni është mbledhur me intervistim ballë për ballë nga anketuesit në bazë të udhëzimeve të përgatitura për këtë qëllim. </w:t>
            </w:r>
          </w:p>
          <w:p w:rsidR="00626614" w:rsidRPr="00644BCB" w:rsidRDefault="0098418E" w:rsidP="00C45F09">
            <w:pPr>
              <w:pStyle w:val="ListParagraph"/>
              <w:numPr>
                <w:ilvl w:val="0"/>
                <w:numId w:val="10"/>
              </w:numPr>
              <w:spacing w:before="240"/>
              <w:ind w:right="86"/>
              <w:jc w:val="both"/>
              <w:rPr>
                <w:noProof/>
                <w:color w:val="000000"/>
                <w:lang w:val="sq-AL" w:eastAsia="sq-AL"/>
              </w:rPr>
            </w:pPr>
            <w:r w:rsidRPr="00644BCB">
              <w:rPr>
                <w:noProof/>
                <w:color w:val="000000"/>
                <w:lang w:val="sq-AL" w:eastAsia="sq-AL"/>
              </w:rPr>
              <w:t xml:space="preserve">Stafi anketues është i trajnuar se si të sillen në mënyrë etike me rastet e personave të cilët refuzojnë të përgjigjen. </w:t>
            </w:r>
          </w:p>
          <w:p w:rsidR="00626614" w:rsidRPr="00644BCB" w:rsidRDefault="0098418E" w:rsidP="00C45F09">
            <w:pPr>
              <w:pStyle w:val="ListParagraph"/>
              <w:numPr>
                <w:ilvl w:val="0"/>
                <w:numId w:val="10"/>
              </w:numPr>
              <w:spacing w:before="240"/>
              <w:ind w:right="86"/>
              <w:jc w:val="both"/>
              <w:rPr>
                <w:noProof/>
                <w:color w:val="000000"/>
                <w:lang w:val="sq-AL" w:eastAsia="sq-AL"/>
              </w:rPr>
            </w:pPr>
            <w:r w:rsidRPr="00644BCB">
              <w:rPr>
                <w:noProof/>
                <w:color w:val="000000"/>
                <w:lang w:val="sq-AL" w:eastAsia="sq-AL"/>
              </w:rPr>
              <w:t xml:space="preserve">Për shkak të mungesës së sistemit të adresave, shpesh nga anketuesit është e vështirë gjetja e ndërmarrjes. Për këtë arsye, stafi i INSTAT nëpërmjet adresës së email-it ose numrit të telefonit kontakton personin përgjegjës për plotësimin e anketës dhe merr më tepër informacion mbi vendodhjen si edhe datën dhe orën e takimit. </w:t>
            </w:r>
          </w:p>
          <w:p w:rsidR="00626614" w:rsidRPr="00644BCB" w:rsidRDefault="0098418E" w:rsidP="00C45F09">
            <w:pPr>
              <w:pStyle w:val="ListParagraph"/>
              <w:numPr>
                <w:ilvl w:val="0"/>
                <w:numId w:val="10"/>
              </w:numPr>
              <w:spacing w:before="240"/>
              <w:ind w:right="86"/>
              <w:jc w:val="both"/>
              <w:rPr>
                <w:noProof/>
                <w:color w:val="000000"/>
                <w:lang w:val="sq-AL" w:eastAsia="sq-AL"/>
              </w:rPr>
            </w:pPr>
            <w:r w:rsidRPr="00644BCB">
              <w:rPr>
                <w:noProof/>
                <w:color w:val="000000"/>
                <w:lang w:val="sq-AL" w:eastAsia="sq-AL"/>
              </w:rPr>
              <w:t xml:space="preserve">Prioritet i jepet bizneseve të mëdha. Kur këto ndërmarrje refuzon të përgjigjet për intervistuesit, një kërkesë zyrtare i drejtohet presidentit të ndërmarrjes, e cila është e nënshkruar nga drejtori i përgjithshëm i INSTAT; </w:t>
            </w:r>
          </w:p>
          <w:p w:rsidR="00626614" w:rsidRPr="00644BCB" w:rsidRDefault="0098418E" w:rsidP="00C45F09">
            <w:pPr>
              <w:pStyle w:val="ListParagraph"/>
              <w:numPr>
                <w:ilvl w:val="0"/>
                <w:numId w:val="10"/>
              </w:numPr>
              <w:spacing w:before="240"/>
              <w:ind w:right="86"/>
              <w:jc w:val="both"/>
              <w:rPr>
                <w:noProof/>
                <w:color w:val="000000"/>
                <w:lang w:val="sq-AL" w:eastAsia="sq-AL"/>
              </w:rPr>
            </w:pPr>
            <w:r w:rsidRPr="00644BCB">
              <w:rPr>
                <w:noProof/>
                <w:color w:val="000000"/>
                <w:lang w:val="sq-AL" w:eastAsia="sq-AL"/>
              </w:rPr>
              <w:t xml:space="preserve">Kërkesë zyrtare dërgohet edhe për ndërmarrje të tjera që pranojnë të përgjigjen vetëm nëse ju kërkohet zyrtarisht informacioni. </w:t>
            </w:r>
          </w:p>
          <w:p w:rsidR="00626614" w:rsidRPr="00644BCB" w:rsidRDefault="0098418E" w:rsidP="00C45F09">
            <w:pPr>
              <w:pStyle w:val="ListParagraph"/>
              <w:numPr>
                <w:ilvl w:val="0"/>
                <w:numId w:val="10"/>
              </w:numPr>
              <w:spacing w:before="240"/>
              <w:ind w:right="86"/>
              <w:jc w:val="both"/>
              <w:rPr>
                <w:noProof/>
                <w:color w:val="000000"/>
                <w:lang w:val="sq-AL" w:eastAsia="sq-AL"/>
              </w:rPr>
            </w:pPr>
            <w:r w:rsidRPr="00644BCB">
              <w:rPr>
                <w:noProof/>
                <w:color w:val="000000"/>
                <w:lang w:val="sq-AL" w:eastAsia="sq-AL"/>
              </w:rPr>
              <w:lastRenderedPageBreak/>
              <w:t xml:space="preserve">Ndërmarrjet janë të ftuar të kontaktojnë zyrat qendrore të Institutit të Statistikave në rast të pyetjeve dhe gjithmonë një staf i kualifikuar është në dispozicion për t'iu përgjigjur pyetjeve të drejtuara nga ndërmarrjet. </w:t>
            </w:r>
          </w:p>
          <w:p w:rsidR="00BD6D4E" w:rsidRPr="00644BCB" w:rsidRDefault="0098418E" w:rsidP="009D61C0">
            <w:pPr>
              <w:pStyle w:val="ListParagraph"/>
              <w:numPr>
                <w:ilvl w:val="0"/>
                <w:numId w:val="10"/>
              </w:numPr>
              <w:spacing w:before="240" w:after="240"/>
              <w:ind w:right="86"/>
              <w:jc w:val="both"/>
              <w:rPr>
                <w:noProof/>
                <w:color w:val="000000"/>
                <w:lang w:val="sq-AL" w:eastAsia="sq-AL"/>
              </w:rPr>
            </w:pPr>
            <w:r w:rsidRPr="00644BCB">
              <w:rPr>
                <w:noProof/>
                <w:color w:val="000000"/>
                <w:lang w:val="sq-AL" w:eastAsia="sq-AL"/>
              </w:rPr>
              <w:t xml:space="preserve">Ndërmarrjeve më të mëdha ju dërgohen çdo vit botime të </w:t>
            </w:r>
            <w:r w:rsidR="009D61C0">
              <w:rPr>
                <w:noProof/>
                <w:color w:val="000000"/>
                <w:lang w:val="sq-AL" w:eastAsia="sq-AL"/>
              </w:rPr>
              <w:t>INSTAT</w:t>
            </w:r>
            <w:r w:rsidRPr="00644BCB">
              <w:rPr>
                <w:noProof/>
                <w:color w:val="000000"/>
                <w:lang w:val="sq-AL" w:eastAsia="sq-AL"/>
              </w:rPr>
              <w:t>.</w:t>
            </w:r>
          </w:p>
        </w:tc>
      </w:tr>
      <w:tr w:rsidR="00BD6D4E" w:rsidRPr="00DE4BE4" w:rsidTr="00185CCC">
        <w:trPr>
          <w:trHeight w:val="1421"/>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13.2. Gabim i kampionimit</w:t>
            </w:r>
          </w:p>
        </w:tc>
        <w:tc>
          <w:tcPr>
            <w:tcW w:w="7953" w:type="dxa"/>
            <w:shd w:val="clear" w:color="auto" w:fill="auto"/>
            <w:vAlign w:val="center"/>
          </w:tcPr>
          <w:p w:rsidR="00BD6D4E" w:rsidRPr="00430D9B" w:rsidRDefault="00C37EA7" w:rsidP="00C37EA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C37EA7">
              <w:rPr>
                <w:rFonts w:ascii="Times New Roman" w:eastAsia="Times New Roman" w:hAnsi="Times New Roman" w:cs="Times New Roman"/>
                <w:noProof/>
                <w:color w:val="000000"/>
                <w:sz w:val="24"/>
                <w:szCs w:val="24"/>
                <w:lang w:val="sq-AL" w:eastAsia="sq-AL"/>
              </w:rPr>
              <w:t>Treguesit e gabimeve të kampionimit janë llogaritur për indikatorët kryesorë</w:t>
            </w:r>
            <w:r>
              <w:rPr>
                <w:rFonts w:ascii="Times New Roman" w:eastAsia="Times New Roman" w:hAnsi="Times New Roman" w:cs="Times New Roman"/>
                <w:noProof/>
                <w:color w:val="000000"/>
                <w:sz w:val="24"/>
                <w:szCs w:val="24"/>
                <w:lang w:val="sq-AL" w:eastAsia="sq-AL"/>
              </w:rPr>
              <w:t>: Shitje neto, Të punësuar dhe Numër ndërmarrjesh gjithsej në nivel seksioni dhe total vendi</w:t>
            </w:r>
            <w:r w:rsidRPr="00C37EA7">
              <w:rPr>
                <w:rFonts w:ascii="Times New Roman" w:eastAsia="Times New Roman" w:hAnsi="Times New Roman" w:cs="Times New Roman"/>
                <w:noProof/>
                <w:color w:val="000000"/>
                <w:sz w:val="24"/>
                <w:szCs w:val="24"/>
                <w:lang w:val="sq-AL" w:eastAsia="sq-AL"/>
              </w:rPr>
              <w:t xml:space="preserve">, të cilët i gjeni </w:t>
            </w:r>
            <w:r>
              <w:rPr>
                <w:rFonts w:ascii="Times New Roman" w:eastAsia="Times New Roman" w:hAnsi="Times New Roman" w:cs="Times New Roman"/>
                <w:noProof/>
                <w:color w:val="000000"/>
                <w:sz w:val="24"/>
                <w:szCs w:val="24"/>
                <w:lang w:val="sq-AL" w:eastAsia="sq-AL"/>
              </w:rPr>
              <w:t xml:space="preserve">të pasqyruara </w:t>
            </w:r>
            <w:r w:rsidRPr="00C37EA7">
              <w:rPr>
                <w:rFonts w:ascii="Times New Roman" w:eastAsia="Times New Roman" w:hAnsi="Times New Roman" w:cs="Times New Roman"/>
                <w:noProof/>
                <w:color w:val="000000"/>
                <w:sz w:val="24"/>
                <w:szCs w:val="24"/>
                <w:lang w:val="sq-AL" w:eastAsia="sq-AL"/>
              </w:rPr>
              <w:t>në Aneks</w:t>
            </w:r>
            <w:r>
              <w:rPr>
                <w:rFonts w:ascii="Times New Roman" w:eastAsia="Times New Roman" w:hAnsi="Times New Roman" w:cs="Times New Roman"/>
                <w:noProof/>
                <w:color w:val="000000"/>
                <w:sz w:val="24"/>
                <w:szCs w:val="24"/>
                <w:lang w:val="sq-AL" w:eastAsia="sq-AL"/>
              </w:rPr>
              <w:t>1</w:t>
            </w:r>
            <w:r w:rsidRPr="00C37EA7">
              <w:rPr>
                <w:rFonts w:ascii="Times New Roman" w:eastAsia="Times New Roman" w:hAnsi="Times New Roman" w:cs="Times New Roman"/>
                <w:noProof/>
                <w:color w:val="000000"/>
                <w:sz w:val="24"/>
                <w:szCs w:val="24"/>
                <w:lang w:val="sq-AL" w:eastAsia="sq-AL"/>
              </w:rPr>
              <w:t>. Të gjitha vlerat e treguesve përgjithësohen për të përfaqësuar gjithë popullatën në studim.</w:t>
            </w:r>
          </w:p>
        </w:tc>
      </w:tr>
      <w:tr w:rsidR="00BD6D4E" w:rsidRPr="00430D9B" w:rsidTr="00185CCC">
        <w:trPr>
          <w:trHeight w:val="3077"/>
        </w:trPr>
        <w:tc>
          <w:tcPr>
            <w:tcW w:w="2453" w:type="dxa"/>
            <w:shd w:val="clear" w:color="auto" w:fill="FFFFCC"/>
            <w:noWrap/>
            <w:vAlign w:val="center"/>
            <w:hideMark/>
          </w:tcPr>
          <w:p w:rsidR="00BD6D4E" w:rsidRPr="00647E89" w:rsidRDefault="00BD6D4E" w:rsidP="00430D9B">
            <w:pPr>
              <w:spacing w:after="0"/>
              <w:rPr>
                <w:rFonts w:ascii="Times New Roman" w:eastAsia="Times New Roman" w:hAnsi="Times New Roman" w:cs="Times New Roman"/>
                <w:noProof/>
                <w:color w:val="000000"/>
                <w:sz w:val="24"/>
                <w:szCs w:val="24"/>
                <w:lang w:val="sq-AL" w:eastAsia="sq-AL"/>
              </w:rPr>
            </w:pPr>
            <w:r w:rsidRPr="00647E89">
              <w:rPr>
                <w:rFonts w:ascii="Times New Roman" w:eastAsia="Times New Roman" w:hAnsi="Times New Roman" w:cs="Times New Roman"/>
                <w:noProof/>
                <w:color w:val="000000"/>
                <w:sz w:val="24"/>
                <w:szCs w:val="24"/>
                <w:lang w:val="sq-AL" w:eastAsia="sq-AL"/>
              </w:rPr>
              <w:t xml:space="preserve">13.3. Gabim jo i kampionimit </w:t>
            </w:r>
          </w:p>
        </w:tc>
        <w:tc>
          <w:tcPr>
            <w:tcW w:w="7953" w:type="dxa"/>
            <w:shd w:val="clear" w:color="auto" w:fill="auto"/>
            <w:vAlign w:val="center"/>
          </w:tcPr>
          <w:p w:rsidR="00E318FE" w:rsidRPr="00647E89" w:rsidRDefault="0098418E" w:rsidP="00E318FE">
            <w:pPr>
              <w:spacing w:before="240" w:after="240" w:line="240" w:lineRule="auto"/>
              <w:ind w:left="101" w:right="86"/>
              <w:jc w:val="both"/>
              <w:rPr>
                <w:rFonts w:ascii="Times New Roman" w:eastAsia="Times New Roman" w:hAnsi="Times New Roman" w:cs="Times New Roman"/>
                <w:noProof/>
                <w:sz w:val="24"/>
                <w:szCs w:val="24"/>
                <w:lang w:val="sq-AL" w:eastAsia="sq-AL"/>
              </w:rPr>
            </w:pPr>
            <w:r w:rsidRPr="00647E89">
              <w:rPr>
                <w:rFonts w:ascii="Times New Roman" w:eastAsia="Times New Roman" w:hAnsi="Times New Roman" w:cs="Times New Roman"/>
                <w:noProof/>
                <w:sz w:val="24"/>
                <w:szCs w:val="24"/>
                <w:lang w:val="sq-AL" w:eastAsia="sq-AL"/>
              </w:rPr>
              <w:t>Mos-përgjigja në nivel rekordi merr në konsideratë ndërmarrjet që nuk janë në gjendje apo të g</w:t>
            </w:r>
            <w:r w:rsidR="00817B67" w:rsidRPr="00647E89">
              <w:rPr>
                <w:rFonts w:ascii="Times New Roman" w:eastAsia="Times New Roman" w:hAnsi="Times New Roman" w:cs="Times New Roman"/>
                <w:noProof/>
                <w:sz w:val="24"/>
                <w:szCs w:val="24"/>
                <w:lang w:val="sq-AL" w:eastAsia="sq-AL"/>
              </w:rPr>
              <w:t>atshme për të dhënë përgjigje,</w:t>
            </w:r>
            <w:r w:rsidRPr="00647E89">
              <w:rPr>
                <w:rFonts w:ascii="Times New Roman" w:eastAsia="Times New Roman" w:hAnsi="Times New Roman" w:cs="Times New Roman"/>
                <w:noProof/>
                <w:sz w:val="24"/>
                <w:szCs w:val="24"/>
                <w:lang w:val="sq-AL" w:eastAsia="sq-AL"/>
              </w:rPr>
              <w:t xml:space="preserve"> kur intervistuesit nuk janë në gjendje për të gjetur ndërmarrjet, kur ekzistojnë pengesa të tjera për të përfunduar intervistën</w:t>
            </w:r>
            <w:r w:rsidR="00817B67" w:rsidRPr="00647E89">
              <w:rPr>
                <w:rFonts w:ascii="Times New Roman" w:eastAsia="Times New Roman" w:hAnsi="Times New Roman" w:cs="Times New Roman"/>
                <w:noProof/>
                <w:sz w:val="24"/>
                <w:szCs w:val="24"/>
                <w:lang w:val="sq-AL" w:eastAsia="sq-AL"/>
              </w:rPr>
              <w:t>, apo kur është e pa mundur për të gjetur informacion nga burime të tjera administrative rreth ndërmarrjes</w:t>
            </w:r>
            <w:r w:rsidRPr="00647E89">
              <w:rPr>
                <w:rFonts w:ascii="Times New Roman" w:eastAsia="Times New Roman" w:hAnsi="Times New Roman" w:cs="Times New Roman"/>
                <w:noProof/>
                <w:sz w:val="24"/>
                <w:szCs w:val="24"/>
                <w:lang w:val="sq-AL" w:eastAsia="sq-AL"/>
              </w:rPr>
              <w:t xml:space="preserve">. </w:t>
            </w:r>
            <w:r w:rsidRPr="00647E89">
              <w:rPr>
                <w:rFonts w:ascii="Times New Roman" w:eastAsia="Times New Roman" w:hAnsi="Times New Roman" w:cs="Times New Roman"/>
                <w:b/>
                <w:noProof/>
                <w:sz w:val="24"/>
                <w:szCs w:val="24"/>
                <w:lang w:val="sq-AL" w:eastAsia="sq-AL"/>
              </w:rPr>
              <w:t xml:space="preserve">Shkalla e mospërgjigjes në nivel rekordi </w:t>
            </w:r>
            <w:r w:rsidRPr="00647E89">
              <w:rPr>
                <w:rFonts w:ascii="Times New Roman" w:eastAsia="Times New Roman" w:hAnsi="Times New Roman" w:cs="Times New Roman"/>
                <w:noProof/>
                <w:sz w:val="24"/>
                <w:szCs w:val="24"/>
                <w:lang w:val="sq-AL" w:eastAsia="sq-AL"/>
              </w:rPr>
              <w:t>për ASN 201</w:t>
            </w:r>
            <w:r w:rsidR="00A52BB3" w:rsidRPr="00647E89">
              <w:rPr>
                <w:rFonts w:ascii="Times New Roman" w:eastAsia="Times New Roman" w:hAnsi="Times New Roman" w:cs="Times New Roman"/>
                <w:noProof/>
                <w:sz w:val="24"/>
                <w:szCs w:val="24"/>
                <w:lang w:val="sq-AL" w:eastAsia="sq-AL"/>
              </w:rPr>
              <w:t>9</w:t>
            </w:r>
            <w:r w:rsidR="00790886" w:rsidRPr="00647E89">
              <w:rPr>
                <w:rFonts w:ascii="Times New Roman" w:eastAsia="Times New Roman" w:hAnsi="Times New Roman" w:cs="Times New Roman"/>
                <w:noProof/>
                <w:sz w:val="24"/>
                <w:szCs w:val="24"/>
                <w:lang w:val="sq-AL" w:eastAsia="sq-AL"/>
              </w:rPr>
              <w:t xml:space="preserve"> </w:t>
            </w:r>
            <w:r w:rsidRPr="00647E89">
              <w:rPr>
                <w:rFonts w:ascii="Times New Roman" w:eastAsia="Times New Roman" w:hAnsi="Times New Roman" w:cs="Times New Roman"/>
                <w:noProof/>
                <w:sz w:val="24"/>
                <w:szCs w:val="24"/>
                <w:lang w:val="sq-AL" w:eastAsia="sq-AL"/>
              </w:rPr>
              <w:t xml:space="preserve">është </w:t>
            </w:r>
            <w:r w:rsidR="00ED001C" w:rsidRPr="00647E89">
              <w:rPr>
                <w:rFonts w:ascii="Times New Roman" w:eastAsia="Times New Roman" w:hAnsi="Times New Roman" w:cs="Times New Roman"/>
                <w:noProof/>
                <w:sz w:val="24"/>
                <w:szCs w:val="24"/>
                <w:lang w:val="sq-AL" w:eastAsia="sq-AL"/>
              </w:rPr>
              <w:t>1</w:t>
            </w:r>
            <w:r w:rsidR="00A52BB3" w:rsidRPr="00647E89">
              <w:rPr>
                <w:rFonts w:ascii="Times New Roman" w:eastAsia="Times New Roman" w:hAnsi="Times New Roman" w:cs="Times New Roman"/>
                <w:noProof/>
                <w:sz w:val="24"/>
                <w:szCs w:val="24"/>
                <w:lang w:val="sq-AL" w:eastAsia="sq-AL"/>
              </w:rPr>
              <w:t>1</w:t>
            </w:r>
            <w:r w:rsidR="00ED001C" w:rsidRPr="00647E89">
              <w:rPr>
                <w:rFonts w:ascii="Times New Roman" w:eastAsia="Times New Roman" w:hAnsi="Times New Roman" w:cs="Times New Roman"/>
                <w:noProof/>
                <w:sz w:val="24"/>
                <w:szCs w:val="24"/>
                <w:lang w:val="sq-AL" w:eastAsia="sq-AL"/>
              </w:rPr>
              <w:t>.8</w:t>
            </w:r>
            <w:r w:rsidR="008B1347" w:rsidRPr="00647E89">
              <w:rPr>
                <w:rFonts w:ascii="Times New Roman" w:eastAsia="Times New Roman" w:hAnsi="Times New Roman" w:cs="Times New Roman"/>
                <w:noProof/>
                <w:sz w:val="24"/>
                <w:szCs w:val="24"/>
                <w:lang w:val="sq-AL" w:eastAsia="sq-AL"/>
              </w:rPr>
              <w:t xml:space="preserve"> </w:t>
            </w:r>
            <w:r w:rsidR="00ED001C" w:rsidRPr="00647E89">
              <w:rPr>
                <w:rFonts w:ascii="Times New Roman" w:eastAsia="Times New Roman" w:hAnsi="Times New Roman" w:cs="Times New Roman"/>
                <w:noProof/>
                <w:sz w:val="24"/>
                <w:szCs w:val="24"/>
                <w:lang w:val="sq-AL" w:eastAsia="sq-AL"/>
              </w:rPr>
              <w:t>%</w:t>
            </w:r>
            <w:r w:rsidRPr="00647E89">
              <w:rPr>
                <w:rFonts w:ascii="Times New Roman" w:eastAsia="Times New Roman" w:hAnsi="Times New Roman" w:cs="Times New Roman"/>
                <w:noProof/>
                <w:sz w:val="24"/>
                <w:szCs w:val="24"/>
                <w:lang w:val="sq-AL" w:eastAsia="sq-AL"/>
              </w:rPr>
              <w:t>.</w:t>
            </w:r>
            <w:r w:rsidR="004261B8" w:rsidRPr="00647E89">
              <w:rPr>
                <w:rFonts w:ascii="Times New Roman" w:eastAsia="Times New Roman" w:hAnsi="Times New Roman" w:cs="Times New Roman"/>
                <w:noProof/>
                <w:sz w:val="24"/>
                <w:szCs w:val="24"/>
                <w:lang w:val="sq-AL" w:eastAsia="sq-AL"/>
              </w:rPr>
              <w:t xml:space="preserve"> </w:t>
            </w:r>
          </w:p>
          <w:p w:rsidR="000223A0" w:rsidRPr="00647E89" w:rsidRDefault="000223A0" w:rsidP="000223A0">
            <w:pPr>
              <w:spacing w:before="240" w:after="240" w:line="240" w:lineRule="auto"/>
              <w:ind w:left="101" w:right="86"/>
              <w:jc w:val="both"/>
              <w:rPr>
                <w:rFonts w:ascii="Times New Roman" w:eastAsia="Times New Roman" w:hAnsi="Times New Roman" w:cs="Times New Roman"/>
                <w:noProof/>
                <w:sz w:val="24"/>
                <w:szCs w:val="24"/>
                <w:lang w:val="sq-AL" w:eastAsia="sq-AL"/>
              </w:rPr>
            </w:pPr>
            <w:r w:rsidRPr="00647E89">
              <w:rPr>
                <w:rFonts w:ascii="Times New Roman" w:eastAsia="Times New Roman" w:hAnsi="Times New Roman" w:cs="Times New Roman"/>
                <w:b/>
                <w:noProof/>
                <w:sz w:val="24"/>
                <w:szCs w:val="24"/>
                <w:lang w:val="sq-AL" w:eastAsia="sq-AL"/>
              </w:rPr>
              <w:t>Shkalla e Mos-përgjigjes në nivel variabli</w:t>
            </w:r>
            <w:r w:rsidRPr="00647E89">
              <w:rPr>
                <w:rFonts w:ascii="Times New Roman" w:eastAsia="Times New Roman" w:hAnsi="Times New Roman" w:cs="Times New Roman"/>
                <w:noProof/>
                <w:sz w:val="24"/>
                <w:szCs w:val="24"/>
                <w:lang w:val="sq-AL" w:eastAsia="sq-AL"/>
              </w:rPr>
              <w:t xml:space="preserve"> për variablat kryesor të ASN 2019 është: për Shitjet neto është 0.0% dhe për Numrin e të punësuarve gjithsej është 0.0 %.</w:t>
            </w:r>
          </w:p>
          <w:p w:rsidR="00BD6D4E" w:rsidRPr="00647E89" w:rsidRDefault="0098418E" w:rsidP="00A52BB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47E89">
              <w:rPr>
                <w:rFonts w:ascii="Times New Roman" w:eastAsia="Times New Roman" w:hAnsi="Times New Roman" w:cs="Times New Roman"/>
                <w:noProof/>
                <w:sz w:val="24"/>
                <w:szCs w:val="24"/>
                <w:lang w:val="sq-AL" w:eastAsia="sq-AL"/>
              </w:rPr>
              <w:t xml:space="preserve">Mbi-mbulimi ndodh kur ndërmarrja e zgjedhur është në një aktivitet të caktuar objekt i anketimit dhe gjatë procesit të intervistimit ajo nuk është më objekt i anketimit. </w:t>
            </w:r>
            <w:r w:rsidRPr="00647E89">
              <w:rPr>
                <w:rFonts w:ascii="Times New Roman" w:eastAsia="Times New Roman" w:hAnsi="Times New Roman" w:cs="Times New Roman"/>
                <w:b/>
                <w:noProof/>
                <w:sz w:val="24"/>
                <w:szCs w:val="24"/>
                <w:lang w:val="sq-AL" w:eastAsia="sq-AL"/>
              </w:rPr>
              <w:t>Shkalla e mbi-mbulimit</w:t>
            </w:r>
            <w:r w:rsidRPr="00647E89">
              <w:rPr>
                <w:rFonts w:ascii="Times New Roman" w:eastAsia="Times New Roman" w:hAnsi="Times New Roman" w:cs="Times New Roman"/>
                <w:noProof/>
                <w:sz w:val="24"/>
                <w:szCs w:val="24"/>
                <w:lang w:val="sq-AL" w:eastAsia="sq-AL"/>
              </w:rPr>
              <w:t xml:space="preserve"> për ASN 201</w:t>
            </w:r>
            <w:r w:rsidR="00A52BB3" w:rsidRPr="00647E89">
              <w:rPr>
                <w:rFonts w:ascii="Times New Roman" w:eastAsia="Times New Roman" w:hAnsi="Times New Roman" w:cs="Times New Roman"/>
                <w:noProof/>
                <w:sz w:val="24"/>
                <w:szCs w:val="24"/>
                <w:lang w:val="sq-AL" w:eastAsia="sq-AL"/>
              </w:rPr>
              <w:t>9</w:t>
            </w:r>
            <w:r w:rsidR="00790886" w:rsidRPr="00647E89">
              <w:rPr>
                <w:rFonts w:ascii="Times New Roman" w:eastAsia="Times New Roman" w:hAnsi="Times New Roman" w:cs="Times New Roman"/>
                <w:noProof/>
                <w:sz w:val="24"/>
                <w:szCs w:val="24"/>
                <w:lang w:val="sq-AL" w:eastAsia="sq-AL"/>
              </w:rPr>
              <w:t xml:space="preserve"> </w:t>
            </w:r>
            <w:r w:rsidR="001B12BB" w:rsidRPr="00647E89">
              <w:rPr>
                <w:rFonts w:ascii="Times New Roman" w:eastAsia="Times New Roman" w:hAnsi="Times New Roman" w:cs="Times New Roman"/>
                <w:noProof/>
                <w:sz w:val="24"/>
                <w:szCs w:val="24"/>
                <w:lang w:val="sq-AL" w:eastAsia="sq-AL"/>
              </w:rPr>
              <w:t xml:space="preserve">është </w:t>
            </w:r>
            <w:r w:rsidR="00A52BB3" w:rsidRPr="00647E89">
              <w:rPr>
                <w:rFonts w:ascii="Times New Roman" w:eastAsia="Times New Roman" w:hAnsi="Times New Roman" w:cs="Times New Roman"/>
                <w:noProof/>
                <w:sz w:val="24"/>
                <w:szCs w:val="24"/>
                <w:lang w:val="sq-AL" w:eastAsia="sq-AL"/>
              </w:rPr>
              <w:t>4</w:t>
            </w:r>
            <w:r w:rsidR="00790886" w:rsidRPr="00647E89">
              <w:rPr>
                <w:rFonts w:ascii="Times New Roman" w:eastAsia="Times New Roman" w:hAnsi="Times New Roman" w:cs="Times New Roman"/>
                <w:noProof/>
                <w:sz w:val="24"/>
                <w:szCs w:val="24"/>
                <w:lang w:val="sq-AL" w:eastAsia="sq-AL"/>
              </w:rPr>
              <w:t>.</w:t>
            </w:r>
            <w:r w:rsidR="00A52BB3" w:rsidRPr="00647E89">
              <w:rPr>
                <w:rFonts w:ascii="Times New Roman" w:eastAsia="Times New Roman" w:hAnsi="Times New Roman" w:cs="Times New Roman"/>
                <w:noProof/>
                <w:sz w:val="24"/>
                <w:szCs w:val="24"/>
                <w:lang w:val="sq-AL" w:eastAsia="sq-AL"/>
              </w:rPr>
              <w:t>15</w:t>
            </w:r>
            <w:r w:rsidR="00790886" w:rsidRPr="00647E89">
              <w:rPr>
                <w:rFonts w:ascii="Times New Roman" w:eastAsia="Times New Roman" w:hAnsi="Times New Roman" w:cs="Times New Roman"/>
                <w:noProof/>
                <w:sz w:val="24"/>
                <w:szCs w:val="24"/>
                <w:lang w:val="sq-AL" w:eastAsia="sq-AL"/>
              </w:rPr>
              <w:t>%</w:t>
            </w:r>
            <w:r w:rsidR="001B12BB" w:rsidRPr="00647E89">
              <w:rPr>
                <w:rFonts w:ascii="Times New Roman" w:eastAsia="Times New Roman" w:hAnsi="Times New Roman" w:cs="Times New Roman"/>
                <w:noProof/>
                <w:sz w:val="24"/>
                <w:szCs w:val="24"/>
                <w:lang w:val="sq-AL" w:eastAsia="sq-AL"/>
              </w:rPr>
              <w:t>.</w:t>
            </w:r>
          </w:p>
        </w:tc>
      </w:tr>
      <w:tr w:rsidR="00BD6D4E" w:rsidRPr="00430D9B" w:rsidTr="004767F6">
        <w:trPr>
          <w:trHeight w:val="608"/>
        </w:trPr>
        <w:tc>
          <w:tcPr>
            <w:tcW w:w="10406" w:type="dxa"/>
            <w:gridSpan w:val="2"/>
            <w:shd w:val="clear" w:color="auto" w:fill="FBD4B4" w:themeFill="accent6" w:themeFillTint="66"/>
            <w:noWrap/>
            <w:vAlign w:val="center"/>
            <w:hideMark/>
          </w:tcPr>
          <w:p w:rsidR="00BD6D4E" w:rsidRPr="00FB235A" w:rsidRDefault="00BD6D4E" w:rsidP="00807B81">
            <w:pPr>
              <w:pStyle w:val="Heading1"/>
              <w:spacing w:before="240" w:after="240" w:line="240" w:lineRule="auto"/>
              <w:ind w:left="101" w:right="86"/>
              <w:jc w:val="both"/>
              <w:rPr>
                <w:rFonts w:ascii="Times New Roman" w:eastAsia="Times New Roman" w:hAnsi="Times New Roman" w:cs="Times New Roman"/>
                <w:b w:val="0"/>
                <w:noProof/>
                <w:color w:val="000000"/>
                <w:sz w:val="24"/>
                <w:szCs w:val="24"/>
                <w:lang w:val="sq-AL" w:eastAsia="sq-AL"/>
              </w:rPr>
            </w:pPr>
            <w:bookmarkStart w:id="13" w:name="_Toc64358766"/>
            <w:r w:rsidRPr="00FB235A">
              <w:rPr>
                <w:rFonts w:ascii="Times New Roman" w:eastAsia="Times New Roman" w:hAnsi="Times New Roman" w:cs="Times New Roman"/>
                <w:noProof/>
                <w:color w:val="000000"/>
                <w:sz w:val="24"/>
                <w:szCs w:val="24"/>
                <w:lang w:val="sq-AL" w:eastAsia="sq-AL"/>
              </w:rPr>
              <w:t>14. Afatet kohore dhe përpikmëria</w:t>
            </w:r>
            <w:bookmarkEnd w:id="13"/>
          </w:p>
        </w:tc>
      </w:tr>
      <w:tr w:rsidR="00BD6D4E" w:rsidRPr="00430D9B" w:rsidTr="00995D78">
        <w:trPr>
          <w:trHeight w:val="2492"/>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14.1. Afatet kohore </w:t>
            </w:r>
          </w:p>
        </w:tc>
        <w:tc>
          <w:tcPr>
            <w:tcW w:w="7953" w:type="dxa"/>
            <w:shd w:val="clear" w:color="auto" w:fill="auto"/>
            <w:vAlign w:val="center"/>
          </w:tcPr>
          <w:p w:rsidR="00BF1B78" w:rsidRPr="00833B1C" w:rsidRDefault="00E14F39" w:rsidP="00995D78">
            <w:pPr>
              <w:spacing w:before="240" w:line="240" w:lineRule="auto"/>
              <w:ind w:left="101" w:right="86"/>
              <w:jc w:val="both"/>
              <w:rPr>
                <w:rFonts w:ascii="Times New Roman" w:eastAsia="Times New Roman" w:hAnsi="Times New Roman" w:cs="Times New Roman"/>
                <w:noProof/>
                <w:color w:val="000000" w:themeColor="text1"/>
                <w:sz w:val="24"/>
                <w:szCs w:val="24"/>
                <w:lang w:val="sq-AL" w:eastAsia="sq-AL"/>
              </w:rPr>
            </w:pPr>
            <w:r w:rsidRPr="00E9472A">
              <w:rPr>
                <w:rFonts w:ascii="Times New Roman" w:eastAsia="Times New Roman" w:hAnsi="Times New Roman" w:cs="Times New Roman"/>
                <w:noProof/>
                <w:color w:val="000000" w:themeColor="text1"/>
                <w:sz w:val="24"/>
                <w:szCs w:val="24"/>
                <w:lang w:val="sq-AL" w:eastAsia="sq-AL"/>
              </w:rPr>
              <w:t>Rezultatet e “Anket</w:t>
            </w:r>
            <w:r w:rsidR="00995D78">
              <w:rPr>
                <w:rFonts w:ascii="Times New Roman" w:eastAsia="Times New Roman" w:hAnsi="Times New Roman" w:cs="Times New Roman"/>
                <w:noProof/>
                <w:color w:val="000000" w:themeColor="text1"/>
                <w:sz w:val="24"/>
                <w:szCs w:val="24"/>
                <w:lang w:val="sq-AL" w:eastAsia="sq-AL"/>
              </w:rPr>
              <w:t>ës</w:t>
            </w:r>
            <w:r w:rsidRPr="00E9472A">
              <w:rPr>
                <w:rFonts w:ascii="Times New Roman" w:eastAsia="Times New Roman" w:hAnsi="Times New Roman" w:cs="Times New Roman"/>
                <w:noProof/>
                <w:color w:val="000000" w:themeColor="text1"/>
                <w:sz w:val="24"/>
                <w:szCs w:val="24"/>
                <w:lang w:val="sq-AL" w:eastAsia="sq-AL"/>
              </w:rPr>
              <w:t xml:space="preserve"> Strukturore </w:t>
            </w:r>
            <w:r w:rsidR="00995D78">
              <w:rPr>
                <w:rFonts w:ascii="Times New Roman" w:eastAsia="Times New Roman" w:hAnsi="Times New Roman" w:cs="Times New Roman"/>
                <w:noProof/>
                <w:color w:val="000000" w:themeColor="text1"/>
                <w:sz w:val="24"/>
                <w:szCs w:val="24"/>
                <w:lang w:val="sq-AL" w:eastAsia="sq-AL"/>
              </w:rPr>
              <w:t>pranë</w:t>
            </w:r>
            <w:r w:rsidRPr="00E9472A">
              <w:rPr>
                <w:rFonts w:ascii="Times New Roman" w:eastAsia="Times New Roman" w:hAnsi="Times New Roman" w:cs="Times New Roman"/>
                <w:noProof/>
                <w:color w:val="000000" w:themeColor="text1"/>
                <w:sz w:val="24"/>
                <w:szCs w:val="24"/>
                <w:lang w:val="sq-AL" w:eastAsia="sq-AL"/>
              </w:rPr>
              <w:t xml:space="preserve"> N</w:t>
            </w:r>
            <w:r w:rsidR="00BF1B78" w:rsidRPr="00E9472A">
              <w:rPr>
                <w:rFonts w:ascii="Times New Roman" w:eastAsia="Times New Roman" w:hAnsi="Times New Roman" w:cs="Times New Roman"/>
                <w:noProof/>
                <w:color w:val="000000" w:themeColor="text1"/>
                <w:sz w:val="24"/>
                <w:szCs w:val="24"/>
                <w:lang w:val="sq-AL" w:eastAsia="sq-AL"/>
              </w:rPr>
              <w:t>dërmarrj</w:t>
            </w:r>
            <w:r w:rsidRPr="00E9472A">
              <w:rPr>
                <w:rFonts w:ascii="Times New Roman" w:eastAsia="Times New Roman" w:hAnsi="Times New Roman" w:cs="Times New Roman"/>
                <w:noProof/>
                <w:color w:val="000000" w:themeColor="text1"/>
                <w:sz w:val="24"/>
                <w:szCs w:val="24"/>
                <w:lang w:val="sq-AL" w:eastAsia="sq-AL"/>
              </w:rPr>
              <w:t>ev</w:t>
            </w:r>
            <w:r w:rsidR="00BF1B78" w:rsidRPr="00E9472A">
              <w:rPr>
                <w:rFonts w:ascii="Times New Roman" w:eastAsia="Times New Roman" w:hAnsi="Times New Roman" w:cs="Times New Roman"/>
                <w:noProof/>
                <w:color w:val="000000" w:themeColor="text1"/>
                <w:sz w:val="24"/>
                <w:szCs w:val="24"/>
                <w:lang w:val="sq-AL" w:eastAsia="sq-AL"/>
              </w:rPr>
              <w:t>e” janë publikuar në faqen e internetit të INSTAT</w:t>
            </w:r>
            <w:r w:rsidR="00995D78">
              <w:rPr>
                <w:rFonts w:ascii="Times New Roman" w:eastAsia="Times New Roman" w:hAnsi="Times New Roman" w:cs="Times New Roman"/>
                <w:noProof/>
                <w:color w:val="000000" w:themeColor="text1"/>
                <w:sz w:val="24"/>
                <w:szCs w:val="24"/>
                <w:lang w:val="sq-AL" w:eastAsia="sq-AL"/>
              </w:rPr>
              <w:t xml:space="preserve"> rreth</w:t>
            </w:r>
            <w:r w:rsidR="009F7D11" w:rsidRPr="00E9472A">
              <w:rPr>
                <w:rFonts w:ascii="Times New Roman" w:eastAsia="Times New Roman" w:hAnsi="Times New Roman" w:cs="Times New Roman"/>
                <w:noProof/>
                <w:color w:val="000000" w:themeColor="text1"/>
                <w:sz w:val="24"/>
                <w:szCs w:val="24"/>
                <w:lang w:val="sq-AL" w:eastAsia="sq-AL"/>
              </w:rPr>
              <w:t xml:space="preserve"> 412</w:t>
            </w:r>
            <w:r w:rsidR="00BF1B78" w:rsidRPr="00E9472A">
              <w:rPr>
                <w:rFonts w:ascii="Times New Roman" w:eastAsia="Times New Roman" w:hAnsi="Times New Roman" w:cs="Times New Roman"/>
                <w:noProof/>
                <w:color w:val="000000" w:themeColor="text1"/>
                <w:sz w:val="24"/>
                <w:szCs w:val="24"/>
                <w:lang w:val="sq-AL" w:eastAsia="sq-AL"/>
              </w:rPr>
              <w:t xml:space="preserve"> ditë pas përfundimit</w:t>
            </w:r>
            <w:r w:rsidR="009F7D11" w:rsidRPr="00E9472A">
              <w:rPr>
                <w:rFonts w:ascii="Times New Roman" w:eastAsia="Times New Roman" w:hAnsi="Times New Roman" w:cs="Times New Roman"/>
                <w:noProof/>
                <w:color w:val="000000" w:themeColor="text1"/>
                <w:sz w:val="24"/>
                <w:szCs w:val="24"/>
                <w:lang w:val="sq-AL" w:eastAsia="sq-AL"/>
              </w:rPr>
              <w:t xml:space="preserve"> të periudhës referuese (T + 412</w:t>
            </w:r>
            <w:r w:rsidR="00BF1B78" w:rsidRPr="00E9472A">
              <w:rPr>
                <w:rFonts w:ascii="Times New Roman" w:eastAsia="Times New Roman" w:hAnsi="Times New Roman" w:cs="Times New Roman"/>
                <w:noProof/>
                <w:color w:val="000000" w:themeColor="text1"/>
                <w:sz w:val="24"/>
                <w:szCs w:val="24"/>
                <w:lang w:val="sq-AL" w:eastAsia="sq-AL"/>
              </w:rPr>
              <w:t xml:space="preserve"> ditë). Periudha referuese e rezultateve të </w:t>
            </w:r>
            <w:r w:rsidRPr="00E9472A">
              <w:rPr>
                <w:rFonts w:ascii="Times New Roman" w:eastAsia="Times New Roman" w:hAnsi="Times New Roman" w:cs="Times New Roman"/>
                <w:noProof/>
                <w:color w:val="000000" w:themeColor="text1"/>
                <w:sz w:val="24"/>
                <w:szCs w:val="24"/>
                <w:lang w:val="sq-AL" w:eastAsia="sq-AL"/>
              </w:rPr>
              <w:t>ASN</w:t>
            </w:r>
            <w:r w:rsidR="00BF1B78" w:rsidRPr="00E9472A">
              <w:rPr>
                <w:rFonts w:ascii="Times New Roman" w:eastAsia="Times New Roman" w:hAnsi="Times New Roman" w:cs="Times New Roman"/>
                <w:noProof/>
                <w:color w:val="000000" w:themeColor="text1"/>
                <w:sz w:val="24"/>
                <w:szCs w:val="24"/>
                <w:lang w:val="sq-AL" w:eastAsia="sq-AL"/>
              </w:rPr>
              <w:t xml:space="preserve"> 201</w:t>
            </w:r>
            <w:r w:rsidR="009F7D11" w:rsidRPr="00E9472A">
              <w:rPr>
                <w:rFonts w:ascii="Times New Roman" w:eastAsia="Times New Roman" w:hAnsi="Times New Roman" w:cs="Times New Roman"/>
                <w:noProof/>
                <w:color w:val="000000" w:themeColor="text1"/>
                <w:sz w:val="24"/>
                <w:szCs w:val="24"/>
                <w:lang w:val="sq-AL" w:eastAsia="sq-AL"/>
              </w:rPr>
              <w:t>9</w:t>
            </w:r>
            <w:r w:rsidR="00BF1B78" w:rsidRPr="00E9472A">
              <w:rPr>
                <w:rFonts w:ascii="Times New Roman" w:eastAsia="Times New Roman" w:hAnsi="Times New Roman" w:cs="Times New Roman"/>
                <w:noProof/>
                <w:color w:val="000000" w:themeColor="text1"/>
                <w:sz w:val="24"/>
                <w:szCs w:val="24"/>
                <w:lang w:val="sq-AL" w:eastAsia="sq-AL"/>
              </w:rPr>
              <w:t xml:space="preserve"> është 31 Dhjetor 201</w:t>
            </w:r>
            <w:r w:rsidR="00AE2524" w:rsidRPr="00E9472A">
              <w:rPr>
                <w:rFonts w:ascii="Times New Roman" w:eastAsia="Times New Roman" w:hAnsi="Times New Roman" w:cs="Times New Roman"/>
                <w:noProof/>
                <w:color w:val="000000" w:themeColor="text1"/>
                <w:sz w:val="24"/>
                <w:szCs w:val="24"/>
                <w:lang w:val="sq-AL" w:eastAsia="sq-AL"/>
              </w:rPr>
              <w:t>9</w:t>
            </w:r>
            <w:r w:rsidR="00BF1B78" w:rsidRPr="00E9472A">
              <w:rPr>
                <w:rFonts w:ascii="Times New Roman" w:eastAsia="Times New Roman" w:hAnsi="Times New Roman" w:cs="Times New Roman"/>
                <w:noProof/>
                <w:color w:val="000000" w:themeColor="text1"/>
                <w:sz w:val="24"/>
                <w:szCs w:val="24"/>
                <w:lang w:val="sq-AL" w:eastAsia="sq-AL"/>
              </w:rPr>
              <w:t>.</w:t>
            </w:r>
          </w:p>
          <w:tbl>
            <w:tblPr>
              <w:tblW w:w="3476" w:type="dxa"/>
              <w:tblInd w:w="1835" w:type="dxa"/>
              <w:tblLayout w:type="fixed"/>
              <w:tblLook w:val="04A0" w:firstRow="1" w:lastRow="0" w:firstColumn="1" w:lastColumn="0" w:noHBand="0" w:noVBand="1"/>
            </w:tblPr>
            <w:tblGrid>
              <w:gridCol w:w="2161"/>
              <w:gridCol w:w="1315"/>
            </w:tblGrid>
            <w:tr w:rsidR="00E75379" w:rsidRPr="00E75379" w:rsidTr="004767F6">
              <w:trPr>
                <w:trHeight w:val="96"/>
              </w:trPr>
              <w:tc>
                <w:tcPr>
                  <w:tcW w:w="21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379" w:rsidRPr="00E75379" w:rsidRDefault="00E75379" w:rsidP="00E75379">
                  <w:pPr>
                    <w:spacing w:after="0" w:line="240" w:lineRule="auto"/>
                    <w:rPr>
                      <w:rFonts w:ascii="Times New Roman" w:eastAsia="Times New Roman" w:hAnsi="Times New Roman" w:cs="Times New Roman"/>
                      <w:color w:val="000000"/>
                    </w:rPr>
                  </w:pPr>
                  <w:proofErr w:type="spellStart"/>
                  <w:r w:rsidRPr="00E75379">
                    <w:rPr>
                      <w:rFonts w:ascii="Times New Roman" w:eastAsia="Times New Roman" w:hAnsi="Times New Roman" w:cs="Times New Roman"/>
                      <w:color w:val="000000"/>
                    </w:rPr>
                    <w:t>Periudha</w:t>
                  </w:r>
                  <w:proofErr w:type="spellEnd"/>
                  <w:r w:rsidRPr="00E75379">
                    <w:rPr>
                      <w:rFonts w:ascii="Times New Roman" w:eastAsia="Times New Roman" w:hAnsi="Times New Roman" w:cs="Times New Roman"/>
                      <w:color w:val="000000"/>
                    </w:rPr>
                    <w:t xml:space="preserve"> </w:t>
                  </w:r>
                  <w:proofErr w:type="spellStart"/>
                  <w:r w:rsidRPr="00E75379">
                    <w:rPr>
                      <w:rFonts w:ascii="Times New Roman" w:eastAsia="Times New Roman" w:hAnsi="Times New Roman" w:cs="Times New Roman"/>
                      <w:color w:val="000000"/>
                    </w:rPr>
                    <w:t>referuese</w:t>
                  </w:r>
                  <w:proofErr w:type="spellEnd"/>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E75379" w:rsidRPr="00E75379" w:rsidRDefault="00E75379" w:rsidP="00E7537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Pr="00E75379">
                    <w:rPr>
                      <w:rFonts w:ascii="Times New Roman" w:eastAsia="Times New Roman" w:hAnsi="Times New Roman" w:cs="Times New Roman"/>
                      <w:color w:val="000000"/>
                    </w:rPr>
                    <w:t>2019</w:t>
                  </w:r>
                </w:p>
              </w:tc>
            </w:tr>
            <w:tr w:rsidR="00E75379" w:rsidRPr="00E75379" w:rsidTr="004767F6">
              <w:trPr>
                <w:trHeight w:val="77"/>
              </w:trPr>
              <w:tc>
                <w:tcPr>
                  <w:tcW w:w="2161" w:type="dxa"/>
                  <w:tcBorders>
                    <w:top w:val="nil"/>
                    <w:left w:val="single" w:sz="4" w:space="0" w:color="auto"/>
                    <w:bottom w:val="single" w:sz="4" w:space="0" w:color="auto"/>
                    <w:right w:val="single" w:sz="4" w:space="0" w:color="auto"/>
                  </w:tcBorders>
                  <w:shd w:val="clear" w:color="auto" w:fill="auto"/>
                  <w:vAlign w:val="bottom"/>
                  <w:hideMark/>
                </w:tcPr>
                <w:p w:rsidR="00E75379" w:rsidRPr="00E75379" w:rsidRDefault="00E75379" w:rsidP="00E75379">
                  <w:pPr>
                    <w:spacing w:after="0" w:line="240" w:lineRule="auto"/>
                    <w:rPr>
                      <w:rFonts w:ascii="Times New Roman" w:eastAsia="Times New Roman" w:hAnsi="Times New Roman" w:cs="Times New Roman"/>
                      <w:color w:val="000000"/>
                    </w:rPr>
                  </w:pPr>
                  <w:r w:rsidRPr="00E75379">
                    <w:rPr>
                      <w:rFonts w:ascii="Times New Roman" w:eastAsia="Times New Roman" w:hAnsi="Times New Roman" w:cs="Times New Roman"/>
                      <w:color w:val="000000"/>
                    </w:rPr>
                    <w:t xml:space="preserve">Data e </w:t>
                  </w:r>
                  <w:proofErr w:type="spellStart"/>
                  <w:r w:rsidRPr="00E75379">
                    <w:rPr>
                      <w:rFonts w:ascii="Times New Roman" w:eastAsia="Times New Roman" w:hAnsi="Times New Roman" w:cs="Times New Roman"/>
                      <w:color w:val="000000"/>
                    </w:rPr>
                    <w:t>publikimit</w:t>
                  </w:r>
                  <w:proofErr w:type="spellEnd"/>
                </w:p>
              </w:tc>
              <w:tc>
                <w:tcPr>
                  <w:tcW w:w="1315" w:type="dxa"/>
                  <w:tcBorders>
                    <w:top w:val="nil"/>
                    <w:left w:val="nil"/>
                    <w:bottom w:val="single" w:sz="4" w:space="0" w:color="auto"/>
                    <w:right w:val="single" w:sz="4" w:space="0" w:color="auto"/>
                  </w:tcBorders>
                  <w:shd w:val="clear" w:color="auto" w:fill="auto"/>
                  <w:noWrap/>
                  <w:vAlign w:val="bottom"/>
                  <w:hideMark/>
                </w:tcPr>
                <w:p w:rsidR="00E75379" w:rsidRPr="00E75379" w:rsidRDefault="00E75379" w:rsidP="00E7537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w:t>
                  </w:r>
                  <w:r w:rsidRPr="00E75379">
                    <w:rPr>
                      <w:rFonts w:ascii="Times New Roman" w:eastAsia="Times New Roman" w:hAnsi="Times New Roman" w:cs="Times New Roman"/>
                      <w:color w:val="000000"/>
                    </w:rPr>
                    <w:t>2021</w:t>
                  </w:r>
                </w:p>
              </w:tc>
            </w:tr>
            <w:tr w:rsidR="00E75379" w:rsidRPr="00E75379" w:rsidTr="004767F6">
              <w:trPr>
                <w:trHeight w:val="87"/>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E75379" w:rsidRPr="00E75379" w:rsidRDefault="00E75379" w:rsidP="00E75379">
                  <w:pPr>
                    <w:spacing w:after="0" w:line="240" w:lineRule="auto"/>
                    <w:rPr>
                      <w:rFonts w:ascii="Times New Roman" w:eastAsia="Times New Roman" w:hAnsi="Times New Roman" w:cs="Times New Roman"/>
                    </w:rPr>
                  </w:pPr>
                  <w:proofErr w:type="spellStart"/>
                  <w:r w:rsidRPr="00E75379">
                    <w:rPr>
                      <w:rFonts w:ascii="Times New Roman" w:eastAsia="Times New Roman" w:hAnsi="Times New Roman" w:cs="Times New Roman"/>
                    </w:rPr>
                    <w:t>Afatet</w:t>
                  </w:r>
                  <w:proofErr w:type="spellEnd"/>
                  <w:r w:rsidRPr="00E75379">
                    <w:rPr>
                      <w:rFonts w:ascii="Times New Roman" w:eastAsia="Times New Roman" w:hAnsi="Times New Roman" w:cs="Times New Roman"/>
                    </w:rPr>
                    <w:t xml:space="preserve"> kohore</w:t>
                  </w:r>
                </w:p>
              </w:tc>
              <w:tc>
                <w:tcPr>
                  <w:tcW w:w="1315" w:type="dxa"/>
                  <w:tcBorders>
                    <w:top w:val="nil"/>
                    <w:left w:val="nil"/>
                    <w:bottom w:val="single" w:sz="4" w:space="0" w:color="auto"/>
                    <w:right w:val="single" w:sz="4" w:space="0" w:color="auto"/>
                  </w:tcBorders>
                  <w:shd w:val="clear" w:color="auto" w:fill="auto"/>
                  <w:noWrap/>
                  <w:vAlign w:val="bottom"/>
                  <w:hideMark/>
                </w:tcPr>
                <w:p w:rsidR="00E75379" w:rsidRPr="00E75379" w:rsidRDefault="00E75379" w:rsidP="00E75379">
                  <w:pPr>
                    <w:spacing w:after="0" w:line="240" w:lineRule="auto"/>
                    <w:jc w:val="right"/>
                    <w:rPr>
                      <w:rFonts w:ascii="Times New Roman" w:eastAsia="Times New Roman" w:hAnsi="Times New Roman" w:cs="Times New Roman"/>
                      <w:color w:val="000000"/>
                    </w:rPr>
                  </w:pPr>
                  <w:r w:rsidRPr="00E75379">
                    <w:rPr>
                      <w:rFonts w:ascii="Times New Roman" w:eastAsia="Times New Roman" w:hAnsi="Times New Roman" w:cs="Times New Roman"/>
                      <w:color w:val="000000"/>
                    </w:rPr>
                    <w:t>412</w:t>
                  </w:r>
                </w:p>
              </w:tc>
            </w:tr>
          </w:tbl>
          <w:p w:rsidR="00BF1B78" w:rsidRPr="00386AC4" w:rsidRDefault="00BF1B78" w:rsidP="00626614">
            <w:pPr>
              <w:spacing w:before="240" w:after="240" w:line="240" w:lineRule="auto"/>
              <w:ind w:left="101" w:right="86"/>
              <w:jc w:val="both"/>
              <w:rPr>
                <w:rFonts w:ascii="Times New Roman" w:eastAsia="Times New Roman" w:hAnsi="Times New Roman" w:cs="Times New Roman"/>
                <w:noProof/>
                <w:color w:val="000000" w:themeColor="text1"/>
                <w:sz w:val="24"/>
                <w:szCs w:val="24"/>
                <w:highlight w:val="lightGray"/>
                <w:lang w:val="sq-AL" w:eastAsia="sq-AL"/>
              </w:rPr>
            </w:pPr>
          </w:p>
        </w:tc>
      </w:tr>
      <w:tr w:rsidR="00BD6D4E" w:rsidRPr="00430D9B" w:rsidTr="00995D78">
        <w:trPr>
          <w:trHeight w:val="2150"/>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bCs/>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 xml:space="preserve">14.2. </w:t>
            </w:r>
            <w:r w:rsidRPr="00430D9B">
              <w:rPr>
                <w:rFonts w:ascii="Times New Roman" w:eastAsia="Times New Roman" w:hAnsi="Times New Roman" w:cs="Times New Roman"/>
                <w:bCs/>
                <w:noProof/>
                <w:color w:val="000000" w:themeColor="text1"/>
                <w:sz w:val="24"/>
                <w:szCs w:val="24"/>
                <w:lang w:val="sq-AL" w:eastAsia="sq-AL"/>
              </w:rPr>
              <w:t>Përpikmëria</w:t>
            </w:r>
          </w:p>
        </w:tc>
        <w:tc>
          <w:tcPr>
            <w:tcW w:w="7953" w:type="dxa"/>
            <w:shd w:val="clear" w:color="auto" w:fill="auto"/>
            <w:vAlign w:val="center"/>
          </w:tcPr>
          <w:p w:rsidR="00E14F39" w:rsidRPr="00833B1C" w:rsidRDefault="00E14F39" w:rsidP="00995D78">
            <w:pPr>
              <w:spacing w:before="240" w:after="240" w:line="240" w:lineRule="auto"/>
              <w:ind w:left="101" w:right="86"/>
              <w:jc w:val="both"/>
              <w:rPr>
                <w:rFonts w:ascii="Times New Roman" w:hAnsi="Times New Roman" w:cs="Times New Roman"/>
                <w:sz w:val="24"/>
                <w:szCs w:val="24"/>
                <w:lang w:val="sq-AL"/>
              </w:rPr>
            </w:pPr>
            <w:r w:rsidRPr="00E9472A">
              <w:rPr>
                <w:rFonts w:ascii="Times New Roman" w:hAnsi="Times New Roman" w:cs="Times New Roman"/>
                <w:sz w:val="24"/>
                <w:szCs w:val="24"/>
                <w:lang w:val="sq-AL"/>
              </w:rPr>
              <w:t xml:space="preserve">Të dhënat e Anketës së ASN, publikohen bazuar në kalendarin e publikimeve. Publikimi i ASN </w:t>
            </w:r>
            <w:r w:rsidR="009F7D11" w:rsidRPr="00E9472A">
              <w:rPr>
                <w:rFonts w:ascii="Times New Roman" w:hAnsi="Times New Roman" w:cs="Times New Roman"/>
                <w:sz w:val="24"/>
                <w:szCs w:val="24"/>
                <w:lang w:val="sq-AL"/>
              </w:rPr>
              <w:t>2019</w:t>
            </w:r>
            <w:r w:rsidR="00817B67" w:rsidRPr="00E9472A">
              <w:rPr>
                <w:rFonts w:ascii="Times New Roman" w:hAnsi="Times New Roman" w:cs="Times New Roman"/>
                <w:sz w:val="24"/>
                <w:szCs w:val="24"/>
                <w:lang w:val="sq-AL"/>
              </w:rPr>
              <w:t xml:space="preserve"> </w:t>
            </w:r>
            <w:r w:rsidRPr="00E9472A">
              <w:rPr>
                <w:rFonts w:ascii="Times New Roman" w:hAnsi="Times New Roman" w:cs="Times New Roman"/>
                <w:sz w:val="24"/>
                <w:szCs w:val="24"/>
                <w:lang w:val="sq-AL"/>
              </w:rPr>
              <w:t>ka qenë i përpiktë në kohë në 100 %</w:t>
            </w:r>
            <w:r w:rsidR="009D33A3" w:rsidRPr="00E9472A">
              <w:rPr>
                <w:rFonts w:ascii="Times New Roman" w:hAnsi="Times New Roman" w:cs="Times New Roman"/>
                <w:sz w:val="24"/>
                <w:szCs w:val="24"/>
                <w:lang w:val="sq-AL"/>
              </w:rPr>
              <w:t>.</w:t>
            </w:r>
          </w:p>
          <w:tbl>
            <w:tblPr>
              <w:tblW w:w="3480" w:type="dxa"/>
              <w:tblInd w:w="1862" w:type="dxa"/>
              <w:tblLayout w:type="fixed"/>
              <w:tblLook w:val="04A0" w:firstRow="1" w:lastRow="0" w:firstColumn="1" w:lastColumn="0" w:noHBand="0" w:noVBand="1"/>
            </w:tblPr>
            <w:tblGrid>
              <w:gridCol w:w="2160"/>
              <w:gridCol w:w="1320"/>
            </w:tblGrid>
            <w:tr w:rsidR="00E75379" w:rsidRPr="00E75379" w:rsidTr="00185CCC">
              <w:trPr>
                <w:trHeight w:val="116"/>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379" w:rsidRPr="00E75379" w:rsidRDefault="00E75379" w:rsidP="00E75379">
                  <w:pPr>
                    <w:spacing w:after="0" w:line="240" w:lineRule="auto"/>
                    <w:rPr>
                      <w:rFonts w:ascii="Times New Roman" w:eastAsia="Times New Roman" w:hAnsi="Times New Roman" w:cs="Times New Roman"/>
                      <w:color w:val="000000"/>
                    </w:rPr>
                  </w:pPr>
                  <w:proofErr w:type="spellStart"/>
                  <w:r w:rsidRPr="00E75379">
                    <w:rPr>
                      <w:rFonts w:ascii="Times New Roman" w:eastAsia="Times New Roman" w:hAnsi="Times New Roman" w:cs="Times New Roman"/>
                      <w:color w:val="000000"/>
                    </w:rPr>
                    <w:t>Periudha</w:t>
                  </w:r>
                  <w:proofErr w:type="spellEnd"/>
                  <w:r w:rsidRPr="00E75379">
                    <w:rPr>
                      <w:rFonts w:ascii="Times New Roman" w:eastAsia="Times New Roman" w:hAnsi="Times New Roman" w:cs="Times New Roman"/>
                      <w:color w:val="000000"/>
                    </w:rPr>
                    <w:t xml:space="preserve"> </w:t>
                  </w:r>
                  <w:proofErr w:type="spellStart"/>
                  <w:r w:rsidRPr="00E75379">
                    <w:rPr>
                      <w:rFonts w:ascii="Times New Roman" w:eastAsia="Times New Roman" w:hAnsi="Times New Roman" w:cs="Times New Roman"/>
                      <w:color w:val="000000"/>
                    </w:rPr>
                    <w:t>referuese</w:t>
                  </w:r>
                  <w:proofErr w:type="spellEnd"/>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75379" w:rsidRPr="00E75379" w:rsidRDefault="00BF647C" w:rsidP="00E7537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00E75379" w:rsidRPr="00E75379">
                    <w:rPr>
                      <w:rFonts w:ascii="Times New Roman" w:eastAsia="Times New Roman" w:hAnsi="Times New Roman" w:cs="Times New Roman"/>
                      <w:color w:val="000000"/>
                    </w:rPr>
                    <w:t>2019</w:t>
                  </w:r>
                </w:p>
              </w:tc>
            </w:tr>
            <w:tr w:rsidR="00E75379" w:rsidRPr="00E75379" w:rsidTr="00185CCC">
              <w:trPr>
                <w:trHeight w:val="194"/>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E75379" w:rsidRPr="00E75379" w:rsidRDefault="00E75379" w:rsidP="00E75379">
                  <w:pPr>
                    <w:spacing w:after="0" w:line="240" w:lineRule="auto"/>
                    <w:rPr>
                      <w:rFonts w:ascii="Times New Roman" w:eastAsia="Times New Roman" w:hAnsi="Times New Roman" w:cs="Times New Roman"/>
                      <w:color w:val="000000"/>
                    </w:rPr>
                  </w:pPr>
                  <w:r w:rsidRPr="00E75379">
                    <w:rPr>
                      <w:rFonts w:ascii="Times New Roman" w:eastAsia="Times New Roman" w:hAnsi="Times New Roman" w:cs="Times New Roman"/>
                      <w:color w:val="000000"/>
                    </w:rPr>
                    <w:t xml:space="preserve">Data e </w:t>
                  </w:r>
                  <w:proofErr w:type="spellStart"/>
                  <w:r w:rsidRPr="00E75379">
                    <w:rPr>
                      <w:rFonts w:ascii="Times New Roman" w:eastAsia="Times New Roman" w:hAnsi="Times New Roman" w:cs="Times New Roman"/>
                      <w:color w:val="000000"/>
                    </w:rPr>
                    <w:t>shpallur</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rsidR="00E75379" w:rsidRPr="00E75379" w:rsidRDefault="00BF647C" w:rsidP="00E7537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w:t>
                  </w:r>
                  <w:r w:rsidR="00E75379" w:rsidRPr="00E75379">
                    <w:rPr>
                      <w:rFonts w:ascii="Times New Roman" w:eastAsia="Times New Roman" w:hAnsi="Times New Roman" w:cs="Times New Roman"/>
                      <w:color w:val="000000"/>
                    </w:rPr>
                    <w:t>2021</w:t>
                  </w:r>
                </w:p>
              </w:tc>
            </w:tr>
            <w:tr w:rsidR="00E75379" w:rsidRPr="00E75379" w:rsidTr="00185CCC">
              <w:trPr>
                <w:trHeight w:val="106"/>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E75379" w:rsidRPr="00E75379" w:rsidRDefault="00E75379" w:rsidP="00E75379">
                  <w:pPr>
                    <w:spacing w:after="0" w:line="240" w:lineRule="auto"/>
                    <w:rPr>
                      <w:rFonts w:ascii="Times New Roman" w:eastAsia="Times New Roman" w:hAnsi="Times New Roman" w:cs="Times New Roman"/>
                      <w:color w:val="000000"/>
                    </w:rPr>
                  </w:pPr>
                  <w:r w:rsidRPr="00E75379">
                    <w:rPr>
                      <w:rFonts w:ascii="Times New Roman" w:eastAsia="Times New Roman" w:hAnsi="Times New Roman" w:cs="Times New Roman"/>
                      <w:color w:val="000000"/>
                    </w:rPr>
                    <w:t xml:space="preserve">Data e </w:t>
                  </w:r>
                  <w:proofErr w:type="spellStart"/>
                  <w:r w:rsidRPr="00E75379">
                    <w:rPr>
                      <w:rFonts w:ascii="Times New Roman" w:eastAsia="Times New Roman" w:hAnsi="Times New Roman" w:cs="Times New Roman"/>
                      <w:color w:val="000000"/>
                    </w:rPr>
                    <w:t>publikimit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rsidR="00E75379" w:rsidRPr="00E75379" w:rsidRDefault="00BF647C" w:rsidP="00BF647C">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r w:rsidR="00E75379" w:rsidRPr="00E75379">
                    <w:rPr>
                      <w:rFonts w:ascii="Times New Roman" w:eastAsia="Times New Roman" w:hAnsi="Times New Roman" w:cs="Times New Roman"/>
                      <w:color w:val="000000"/>
                    </w:rPr>
                    <w:t>15</w:t>
                  </w:r>
                  <w:r>
                    <w:rPr>
                      <w:rFonts w:ascii="Times New Roman" w:eastAsia="Times New Roman" w:hAnsi="Times New Roman" w:cs="Times New Roman"/>
                      <w:color w:val="000000"/>
                    </w:rPr>
                    <w:t>/</w:t>
                  </w:r>
                  <w:r w:rsidR="00E75379" w:rsidRPr="00E75379">
                    <w:rPr>
                      <w:rFonts w:ascii="Times New Roman" w:eastAsia="Times New Roman" w:hAnsi="Times New Roman" w:cs="Times New Roman"/>
                      <w:color w:val="000000"/>
                    </w:rPr>
                    <w:t>2021</w:t>
                  </w:r>
                </w:p>
              </w:tc>
            </w:tr>
            <w:tr w:rsidR="00E75379" w:rsidRPr="00E75379" w:rsidTr="00185CCC">
              <w:trPr>
                <w:trHeight w:val="11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E75379" w:rsidRPr="00E75379" w:rsidRDefault="00E75379" w:rsidP="00E75379">
                  <w:pPr>
                    <w:spacing w:after="0" w:line="240" w:lineRule="auto"/>
                    <w:rPr>
                      <w:rFonts w:ascii="Times New Roman" w:eastAsia="Times New Roman" w:hAnsi="Times New Roman" w:cs="Times New Roman"/>
                      <w:color w:val="000000"/>
                    </w:rPr>
                  </w:pPr>
                  <w:r w:rsidRPr="00E75379">
                    <w:rPr>
                      <w:rFonts w:ascii="Times New Roman" w:eastAsia="Times New Roman" w:hAnsi="Times New Roman" w:cs="Times New Roman"/>
                      <w:color w:val="000000"/>
                    </w:rPr>
                    <w:t>Vonesa në kohë</w:t>
                  </w:r>
                </w:p>
              </w:tc>
              <w:tc>
                <w:tcPr>
                  <w:tcW w:w="1320" w:type="dxa"/>
                  <w:tcBorders>
                    <w:top w:val="nil"/>
                    <w:left w:val="nil"/>
                    <w:bottom w:val="single" w:sz="4" w:space="0" w:color="auto"/>
                    <w:right w:val="single" w:sz="4" w:space="0" w:color="auto"/>
                  </w:tcBorders>
                  <w:shd w:val="clear" w:color="auto" w:fill="auto"/>
                  <w:noWrap/>
                  <w:vAlign w:val="bottom"/>
                  <w:hideMark/>
                </w:tcPr>
                <w:p w:rsidR="00E75379" w:rsidRPr="00E75379" w:rsidRDefault="00E75379" w:rsidP="00E75379">
                  <w:pPr>
                    <w:spacing w:after="0" w:line="240" w:lineRule="auto"/>
                    <w:jc w:val="right"/>
                    <w:rPr>
                      <w:rFonts w:ascii="Times New Roman" w:eastAsia="Times New Roman" w:hAnsi="Times New Roman" w:cs="Times New Roman"/>
                      <w:color w:val="000000"/>
                    </w:rPr>
                  </w:pPr>
                  <w:r w:rsidRPr="00E75379">
                    <w:rPr>
                      <w:rFonts w:ascii="Times New Roman" w:eastAsia="Times New Roman" w:hAnsi="Times New Roman" w:cs="Times New Roman"/>
                      <w:color w:val="000000"/>
                    </w:rPr>
                    <w:t>0</w:t>
                  </w:r>
                </w:p>
              </w:tc>
            </w:tr>
          </w:tbl>
          <w:p w:rsidR="00E14F39" w:rsidRPr="00386AC4" w:rsidRDefault="00E14F39" w:rsidP="00626614">
            <w:pPr>
              <w:spacing w:before="240" w:after="240" w:line="240" w:lineRule="auto"/>
              <w:ind w:left="101" w:right="86"/>
              <w:jc w:val="both"/>
              <w:rPr>
                <w:rFonts w:ascii="Times New Roman" w:eastAsia="Times New Roman" w:hAnsi="Times New Roman" w:cs="Times New Roman"/>
                <w:bCs/>
                <w:noProof/>
                <w:color w:val="000000" w:themeColor="text1"/>
                <w:sz w:val="24"/>
                <w:szCs w:val="24"/>
                <w:highlight w:val="lightGray"/>
                <w:lang w:val="sq-AL" w:eastAsia="sq-AL"/>
              </w:rPr>
            </w:pPr>
          </w:p>
        </w:tc>
      </w:tr>
      <w:tr w:rsidR="00BD6D4E" w:rsidRPr="00430D9B" w:rsidTr="004767F6">
        <w:trPr>
          <w:trHeight w:val="608"/>
        </w:trPr>
        <w:tc>
          <w:tcPr>
            <w:tcW w:w="10406" w:type="dxa"/>
            <w:gridSpan w:val="2"/>
            <w:shd w:val="clear" w:color="auto" w:fill="FBD4B4" w:themeFill="accent6" w:themeFillTint="66"/>
            <w:noWrap/>
            <w:vAlign w:val="center"/>
            <w:hideMark/>
          </w:tcPr>
          <w:p w:rsidR="00BD6D4E" w:rsidRPr="00FB235A" w:rsidRDefault="00BD6D4E" w:rsidP="00807B81">
            <w:pPr>
              <w:pStyle w:val="Heading1"/>
              <w:spacing w:before="240" w:after="240" w:line="240" w:lineRule="auto"/>
              <w:ind w:left="101" w:right="86"/>
              <w:jc w:val="both"/>
              <w:rPr>
                <w:rFonts w:ascii="Times New Roman" w:eastAsia="Times New Roman" w:hAnsi="Times New Roman" w:cs="Times New Roman"/>
                <w:b w:val="0"/>
                <w:noProof/>
                <w:color w:val="000000"/>
                <w:sz w:val="24"/>
                <w:szCs w:val="24"/>
                <w:lang w:val="sq-AL" w:eastAsia="sq-AL"/>
              </w:rPr>
            </w:pPr>
            <w:bookmarkStart w:id="14" w:name="_Toc64358767"/>
            <w:r w:rsidRPr="00FB235A">
              <w:rPr>
                <w:rFonts w:ascii="Times New Roman" w:eastAsia="Times New Roman" w:hAnsi="Times New Roman" w:cs="Times New Roman"/>
                <w:noProof/>
                <w:color w:val="000000"/>
                <w:sz w:val="24"/>
                <w:szCs w:val="24"/>
                <w:lang w:val="sq-AL" w:eastAsia="sq-AL"/>
              </w:rPr>
              <w:t>15. Koherenca dhe Krahasueshmëria</w:t>
            </w:r>
            <w:bookmarkEnd w:id="14"/>
          </w:p>
        </w:tc>
      </w:tr>
      <w:tr w:rsidR="00BD6D4E" w:rsidRPr="00DE4BE4" w:rsidTr="004767F6">
        <w:trPr>
          <w:trHeight w:val="608"/>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15.1. Krahasueshmëria gjeografike</w:t>
            </w:r>
          </w:p>
        </w:tc>
        <w:tc>
          <w:tcPr>
            <w:tcW w:w="7953" w:type="dxa"/>
            <w:shd w:val="clear" w:color="auto" w:fill="auto"/>
            <w:vAlign w:val="center"/>
          </w:tcPr>
          <w:p w:rsidR="00485C8E" w:rsidRDefault="0098418E"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 xml:space="preserve">INSTAT përdor aspektet metodologjike të cilat janë të bazuara në konceptet, përkufizimet dhe udhëzimet e Rregullores Nr 295/2008 të BEsë në lidhje me statistikat e ASN, kështu të dhënat e Shqipërisë mund të jenë të krahasueshme </w:t>
            </w:r>
            <w:r w:rsidRPr="0098418E">
              <w:rPr>
                <w:rFonts w:ascii="Times New Roman" w:eastAsia="Times New Roman" w:hAnsi="Times New Roman" w:cs="Times New Roman"/>
                <w:noProof/>
                <w:color w:val="000000"/>
                <w:sz w:val="24"/>
                <w:szCs w:val="24"/>
                <w:lang w:val="sq-AL" w:eastAsia="sq-AL"/>
              </w:rPr>
              <w:lastRenderedPageBreak/>
              <w:t>me ve</w:t>
            </w:r>
            <w:r w:rsidR="00485C8E">
              <w:rPr>
                <w:rFonts w:ascii="Times New Roman" w:eastAsia="Times New Roman" w:hAnsi="Times New Roman" w:cs="Times New Roman"/>
                <w:noProof/>
                <w:color w:val="000000"/>
                <w:sz w:val="24"/>
                <w:szCs w:val="24"/>
                <w:lang w:val="sq-AL" w:eastAsia="sq-AL"/>
              </w:rPr>
              <w:t>ndet e BE apo vendet kandidate.</w:t>
            </w:r>
          </w:p>
          <w:p w:rsidR="00485C8E" w:rsidRDefault="0098418E" w:rsidP="00882953">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Në lidhje me periudhën referuese, Shqipëria përdor vitin kalendarik, q</w:t>
            </w:r>
            <w:r w:rsidR="00485C8E">
              <w:rPr>
                <w:rFonts w:ascii="Times New Roman" w:eastAsia="Times New Roman" w:hAnsi="Times New Roman" w:cs="Times New Roman"/>
                <w:noProof/>
                <w:color w:val="000000"/>
                <w:sz w:val="24"/>
                <w:szCs w:val="24"/>
                <w:lang w:val="sq-AL" w:eastAsia="sq-AL"/>
              </w:rPr>
              <w:t>ë korrespondon me vitin fiskal.</w:t>
            </w:r>
          </w:p>
          <w:p w:rsidR="00485C8E" w:rsidRDefault="0098418E" w:rsidP="00882953">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Popullsia përbëhet nga të gjitha ndërmarrjet që, sipas regjistrit statistikor të ndërmarrjeve, ishin aktiv</w:t>
            </w:r>
            <w:r w:rsidR="00485C8E">
              <w:rPr>
                <w:rFonts w:ascii="Times New Roman" w:eastAsia="Times New Roman" w:hAnsi="Times New Roman" w:cs="Times New Roman"/>
                <w:noProof/>
                <w:color w:val="000000"/>
                <w:sz w:val="24"/>
                <w:szCs w:val="24"/>
                <w:lang w:val="sq-AL" w:eastAsia="sq-AL"/>
              </w:rPr>
              <w:t>e në Dhjetor të vitit referues.</w:t>
            </w:r>
          </w:p>
          <w:p w:rsidR="00485C8E" w:rsidRDefault="0098418E" w:rsidP="00882953">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Klasifikimi i ndërmarrjeve bëhet në bazë të Klasifikimit të Veprimtarive Ekonomike, Nve Rev.2 sipas Rregullores (KE) Nr 1893/2006 për "Zbatimin e Nve Rev. 2 në statistika</w:t>
            </w:r>
            <w:r w:rsidR="00485C8E">
              <w:rPr>
                <w:rFonts w:ascii="Times New Roman" w:eastAsia="Times New Roman" w:hAnsi="Times New Roman" w:cs="Times New Roman"/>
                <w:noProof/>
                <w:color w:val="000000"/>
                <w:sz w:val="24"/>
                <w:szCs w:val="24"/>
                <w:lang w:val="sq-AL" w:eastAsia="sq-AL"/>
              </w:rPr>
              <w:t>t strukturore të ndërmarrjeve";</w:t>
            </w:r>
          </w:p>
          <w:p w:rsidR="00BD6D4E" w:rsidRPr="00430D9B" w:rsidRDefault="0098418E" w:rsidP="00882953">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Deri më tani njësi statistikore në ASN ka qenë ndërmarrje, pasi ajo përkon me njësinë ligjore në Shqipëri.</w:t>
            </w:r>
          </w:p>
        </w:tc>
      </w:tr>
      <w:tr w:rsidR="00BD6D4E" w:rsidRPr="00DE4BE4" w:rsidTr="00185CCC">
        <w:trPr>
          <w:trHeight w:val="2807"/>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15.2. Krahasueshmëria kohore </w:t>
            </w:r>
          </w:p>
        </w:tc>
        <w:tc>
          <w:tcPr>
            <w:tcW w:w="7953" w:type="dxa"/>
            <w:shd w:val="clear" w:color="auto" w:fill="auto"/>
            <w:vAlign w:val="center"/>
          </w:tcPr>
          <w:p w:rsidR="00BD6D4E" w:rsidRPr="00430D9B" w:rsidRDefault="0098418E"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Për shkak të zbatimit të NVE Rev.2, të dhënat SBS kanë një ndërprerje të serive kohore. Statistikat ASN-së janë dhënë çdo vit dhe janë të krahasueshme nga viti 1998 deri në 2013. Seria kohore ekziston që nga viti 1998 (si vit reference), por të dhënat nga viti 2002 e në vazhdim janë më të besueshme. Bazuar në NVE Rev 1.1 klasifikimi i të dhënat ASN janë të krahasueshme me kalimin e viteve 2002 deri në 2012. Në NVE Rev 2 të dhënat e ASN janë siguruar nga viti 2010 e në vazhdim. Duke filluar nga viti 2010 janë shtuar dy aktivitete të reja (arsimi dhe shëndetësia private) dhe përjashtohet peshkimi. Për aktivitete të tjera, të dhënat ASN janë të krahasueshme në vite.</w:t>
            </w:r>
          </w:p>
        </w:tc>
      </w:tr>
      <w:tr w:rsidR="00BD6D4E" w:rsidRPr="00DE4BE4" w:rsidTr="00882953">
        <w:trPr>
          <w:trHeight w:val="562"/>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15.3. Koherenca e ndërthurjes së fushave</w:t>
            </w:r>
          </w:p>
        </w:tc>
        <w:tc>
          <w:tcPr>
            <w:tcW w:w="7953" w:type="dxa"/>
            <w:shd w:val="clear" w:color="auto" w:fill="auto"/>
            <w:noWrap/>
            <w:vAlign w:val="center"/>
            <w:hideMark/>
          </w:tcPr>
          <w:p w:rsidR="00BD6D4E" w:rsidRPr="00430D9B" w:rsidRDefault="0098418E"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Të dhënat e publikuara në statistikat strukturore të ndërmarrjeve mund të gjenden në këto fusha të ndërlidhura: statistikat afatshkurtra, statistikat e tregut të punës dhe Anketa e Forcave të Punës (AFP). Pavarësisht ngjashmërisë të treguesve të prodhuar nga këto fusha, duhet theksuar se dallime metodologjike ekzistojnë mes të dhënave të ASN dhe të dhënat nga statistikat e tregut të punës, Anketës së Forcave të Punës dhe statistikave afatshkurtra. Për shembull, statistikat e punësimit me të dhënat e ASN ndryshojnë sepse në AFP janë pyetur persona në qoftë se ata kanë qenë të zënë në punë për vitin referues ndërsa në ASN pyetet ndërmarrja për numrin e personave të punësuar. Treguesi i shitjeve neto krahasohet me shitjet neto në Statistikat Afatshkurtra vetëm për të parë ecurinë e treguesit sepse fusha e mbulimit për këto vrojtime ndryshon</w:t>
            </w:r>
            <w:r w:rsidR="00876FAE">
              <w:rPr>
                <w:rFonts w:ascii="Times New Roman" w:eastAsia="Times New Roman" w:hAnsi="Times New Roman" w:cs="Times New Roman"/>
                <w:noProof/>
                <w:color w:val="000000"/>
                <w:sz w:val="24"/>
                <w:szCs w:val="24"/>
                <w:lang w:val="sq-AL" w:eastAsia="sq-AL"/>
              </w:rPr>
              <w:t>.</w:t>
            </w:r>
          </w:p>
        </w:tc>
      </w:tr>
      <w:tr w:rsidR="00BD6D4E" w:rsidRPr="00DE4BE4" w:rsidTr="00882953">
        <w:trPr>
          <w:trHeight w:val="86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15.4. Koherenca e brendshme </w:t>
            </w:r>
          </w:p>
        </w:tc>
        <w:tc>
          <w:tcPr>
            <w:tcW w:w="7953" w:type="dxa"/>
            <w:shd w:val="clear" w:color="auto" w:fill="auto"/>
            <w:vAlign w:val="center"/>
          </w:tcPr>
          <w:p w:rsidR="00BD6D4E" w:rsidRPr="00430D9B" w:rsidRDefault="0098418E"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Konsistenca e brendshme e të dhënave është kontrolluar para se të finalizohet. Kontrollohen gjithashtu lidhjet midis variablave dhe koherenca në seri e tyre.</w:t>
            </w:r>
          </w:p>
        </w:tc>
      </w:tr>
      <w:tr w:rsidR="00BD6D4E" w:rsidRPr="00430D9B" w:rsidTr="00882953">
        <w:trPr>
          <w:trHeight w:val="562"/>
        </w:trPr>
        <w:tc>
          <w:tcPr>
            <w:tcW w:w="2453" w:type="dxa"/>
            <w:shd w:val="clear" w:color="auto" w:fill="FBD4B4" w:themeFill="accent6" w:themeFillTint="66"/>
            <w:vAlign w:val="center"/>
            <w:hideMark/>
          </w:tcPr>
          <w:p w:rsidR="00BD6D4E" w:rsidRPr="003A3E29" w:rsidRDefault="00BD6D4E" w:rsidP="00807B81">
            <w:pPr>
              <w:pStyle w:val="Heading1"/>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bookmarkStart w:id="15" w:name="_Toc64358768"/>
            <w:r w:rsidRPr="00807B81">
              <w:rPr>
                <w:rFonts w:ascii="Times New Roman" w:eastAsia="Times New Roman" w:hAnsi="Times New Roman" w:cs="Times New Roman"/>
                <w:noProof/>
                <w:color w:val="000000"/>
                <w:sz w:val="24"/>
                <w:szCs w:val="24"/>
                <w:lang w:val="sq-AL" w:eastAsia="sq-AL"/>
              </w:rPr>
              <w:t>16. Kostoja dhe ngarkesa</w:t>
            </w:r>
            <w:bookmarkEnd w:id="15"/>
          </w:p>
        </w:tc>
        <w:tc>
          <w:tcPr>
            <w:tcW w:w="7953" w:type="dxa"/>
            <w:shd w:val="clear" w:color="auto" w:fill="auto"/>
            <w:vAlign w:val="center"/>
          </w:tcPr>
          <w:p w:rsidR="00FE2AAB" w:rsidRPr="00647E89" w:rsidRDefault="0098418E" w:rsidP="00FE2AAB">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647E89">
              <w:rPr>
                <w:rFonts w:ascii="Times New Roman" w:eastAsia="Times New Roman" w:hAnsi="Times New Roman" w:cs="Times New Roman"/>
                <w:noProof/>
                <w:color w:val="000000"/>
                <w:sz w:val="24"/>
                <w:szCs w:val="24"/>
                <w:lang w:val="sq-AL" w:eastAsia="sq-AL"/>
              </w:rPr>
              <w:t>Pers</w:t>
            </w:r>
            <w:r w:rsidR="00FE2AAB" w:rsidRPr="00647E89">
              <w:rPr>
                <w:rFonts w:ascii="Times New Roman" w:eastAsia="Times New Roman" w:hAnsi="Times New Roman" w:cs="Times New Roman"/>
                <w:noProof/>
                <w:color w:val="000000"/>
                <w:sz w:val="24"/>
                <w:szCs w:val="24"/>
                <w:lang w:val="sq-AL" w:eastAsia="sq-AL"/>
              </w:rPr>
              <w:t xml:space="preserve">onat që punojnë për ASN janë: </w:t>
            </w:r>
          </w:p>
          <w:p w:rsidR="00C45F09" w:rsidRPr="00647E89" w:rsidRDefault="0098418E" w:rsidP="00FE2AAB">
            <w:pPr>
              <w:pStyle w:val="ListParagraph"/>
              <w:numPr>
                <w:ilvl w:val="0"/>
                <w:numId w:val="18"/>
              </w:numPr>
              <w:ind w:right="86"/>
              <w:jc w:val="both"/>
              <w:rPr>
                <w:noProof/>
                <w:color w:val="000000"/>
                <w:lang w:val="sq-AL" w:eastAsia="sq-AL"/>
              </w:rPr>
            </w:pPr>
            <w:r w:rsidRPr="00647E89">
              <w:rPr>
                <w:noProof/>
                <w:color w:val="000000"/>
                <w:lang w:val="sq-AL" w:eastAsia="sq-AL"/>
              </w:rPr>
              <w:t>Stafi i përgjithshëm në Zyrat Qendrore: 5 punonjës</w:t>
            </w:r>
          </w:p>
          <w:p w:rsidR="00C45F09" w:rsidRPr="00647E89" w:rsidRDefault="0098418E" w:rsidP="00C45F09">
            <w:pPr>
              <w:pStyle w:val="ListParagraph"/>
              <w:numPr>
                <w:ilvl w:val="0"/>
                <w:numId w:val="17"/>
              </w:numPr>
              <w:spacing w:before="240" w:after="240"/>
              <w:ind w:right="86"/>
              <w:jc w:val="both"/>
              <w:rPr>
                <w:noProof/>
                <w:color w:val="000000"/>
                <w:lang w:val="sq-AL" w:eastAsia="sq-AL"/>
              </w:rPr>
            </w:pPr>
            <w:r w:rsidRPr="00647E89">
              <w:rPr>
                <w:noProof/>
                <w:color w:val="000000"/>
                <w:lang w:val="sq-AL" w:eastAsia="sq-AL"/>
              </w:rPr>
              <w:t xml:space="preserve">Stafi në Zyrat Rajonale, 11 punonjës </w:t>
            </w:r>
          </w:p>
          <w:p w:rsidR="00BD6D4E" w:rsidRPr="00C45F09" w:rsidRDefault="0098418E" w:rsidP="009D61C0">
            <w:pPr>
              <w:pStyle w:val="ListParagraph"/>
              <w:numPr>
                <w:ilvl w:val="0"/>
                <w:numId w:val="17"/>
              </w:numPr>
              <w:spacing w:before="240" w:after="240"/>
              <w:ind w:right="86"/>
              <w:jc w:val="both"/>
              <w:rPr>
                <w:noProof/>
                <w:color w:val="000000"/>
                <w:lang w:val="sq-AL" w:eastAsia="sq-AL"/>
              </w:rPr>
            </w:pPr>
            <w:r w:rsidRPr="00647E89">
              <w:rPr>
                <w:noProof/>
                <w:color w:val="000000"/>
                <w:lang w:val="sq-AL" w:eastAsia="sq-AL"/>
              </w:rPr>
              <w:t>Intervistuesit, Operator, Kontrollor</w:t>
            </w:r>
            <w:r w:rsidR="00C37EA7" w:rsidRPr="00647E89">
              <w:rPr>
                <w:noProof/>
                <w:color w:val="000000"/>
                <w:lang w:val="sq-AL" w:eastAsia="sq-AL"/>
              </w:rPr>
              <w:t xml:space="preserve"> </w:t>
            </w:r>
            <w:r w:rsidRPr="00647E89">
              <w:rPr>
                <w:noProof/>
                <w:color w:val="000000"/>
                <w:lang w:val="sq-AL" w:eastAsia="sq-AL"/>
              </w:rPr>
              <w:t xml:space="preserve">(Staf i përkohshëm i INSTAT): </w:t>
            </w:r>
            <w:r w:rsidR="00C03975" w:rsidRPr="00647E89">
              <w:rPr>
                <w:noProof/>
                <w:color w:val="000000"/>
                <w:lang w:val="sq-AL" w:eastAsia="sq-AL"/>
              </w:rPr>
              <w:t>21</w:t>
            </w:r>
            <w:r w:rsidR="00672856" w:rsidRPr="00647E89">
              <w:rPr>
                <w:noProof/>
                <w:color w:val="000000"/>
                <w:lang w:val="sq-AL" w:eastAsia="sq-AL"/>
              </w:rPr>
              <w:t>5</w:t>
            </w:r>
            <w:r w:rsidRPr="00647E89">
              <w:rPr>
                <w:noProof/>
                <w:color w:val="000000"/>
                <w:lang w:val="sq-AL" w:eastAsia="sq-AL"/>
              </w:rPr>
              <w:t xml:space="preserve"> Intervistues +1</w:t>
            </w:r>
            <w:r w:rsidR="009D61C0">
              <w:rPr>
                <w:noProof/>
                <w:color w:val="000000"/>
                <w:lang w:val="sq-AL" w:eastAsia="sq-AL"/>
              </w:rPr>
              <w:t>8</w:t>
            </w:r>
            <w:r w:rsidRPr="00647E89">
              <w:rPr>
                <w:noProof/>
                <w:color w:val="000000"/>
                <w:lang w:val="sq-AL" w:eastAsia="sq-AL"/>
              </w:rPr>
              <w:t xml:space="preserve"> Kontrollorë + 2</w:t>
            </w:r>
            <w:r w:rsidR="00C03975" w:rsidRPr="00647E89">
              <w:rPr>
                <w:noProof/>
                <w:color w:val="000000"/>
                <w:lang w:val="sq-AL" w:eastAsia="sq-AL"/>
              </w:rPr>
              <w:t>3</w:t>
            </w:r>
            <w:r w:rsidRPr="00647E89">
              <w:rPr>
                <w:noProof/>
                <w:color w:val="000000"/>
                <w:lang w:val="sq-AL" w:eastAsia="sq-AL"/>
              </w:rPr>
              <w:t xml:space="preserve"> Operatorë</w:t>
            </w:r>
            <w:r w:rsidR="00876FAE" w:rsidRPr="00647E89">
              <w:rPr>
                <w:noProof/>
                <w:color w:val="000000"/>
                <w:lang w:val="sq-AL" w:eastAsia="sq-AL"/>
              </w:rPr>
              <w:t>.</w:t>
            </w:r>
          </w:p>
        </w:tc>
      </w:tr>
      <w:tr w:rsidR="00BD6D4E" w:rsidRPr="00430D9B" w:rsidTr="004767F6">
        <w:trPr>
          <w:trHeight w:val="816"/>
        </w:trPr>
        <w:tc>
          <w:tcPr>
            <w:tcW w:w="10406" w:type="dxa"/>
            <w:gridSpan w:val="2"/>
            <w:shd w:val="clear" w:color="auto" w:fill="FBD4B4" w:themeFill="accent6" w:themeFillTint="66"/>
            <w:vAlign w:val="center"/>
            <w:hideMark/>
          </w:tcPr>
          <w:p w:rsidR="00BD6D4E" w:rsidRPr="00FB235A" w:rsidRDefault="00BD6D4E" w:rsidP="00807B81">
            <w:pPr>
              <w:pStyle w:val="Heading1"/>
              <w:spacing w:before="240" w:after="240" w:line="240" w:lineRule="auto"/>
              <w:ind w:left="101" w:right="86"/>
              <w:jc w:val="both"/>
              <w:rPr>
                <w:rFonts w:ascii="Times New Roman" w:eastAsia="Times New Roman" w:hAnsi="Times New Roman" w:cs="Times New Roman"/>
                <w:b w:val="0"/>
                <w:noProof/>
                <w:color w:val="000000"/>
                <w:sz w:val="24"/>
                <w:szCs w:val="24"/>
                <w:lang w:val="sq-AL" w:eastAsia="sq-AL"/>
              </w:rPr>
            </w:pPr>
            <w:bookmarkStart w:id="16" w:name="_Toc64358769"/>
            <w:r w:rsidRPr="00FB235A">
              <w:rPr>
                <w:rFonts w:ascii="Times New Roman" w:eastAsia="Times New Roman" w:hAnsi="Times New Roman" w:cs="Times New Roman"/>
                <w:noProof/>
                <w:color w:val="000000"/>
                <w:sz w:val="24"/>
                <w:szCs w:val="24"/>
                <w:lang w:val="sq-AL" w:eastAsia="sq-AL"/>
              </w:rPr>
              <w:t>17. Rishikimi i të dhënave</w:t>
            </w:r>
            <w:bookmarkEnd w:id="16"/>
          </w:p>
        </w:tc>
      </w:tr>
      <w:tr w:rsidR="00BD6D4E" w:rsidRPr="00DE4BE4" w:rsidTr="00883F53">
        <w:trPr>
          <w:trHeight w:val="611"/>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17.1. Politika e rishikimit</w:t>
            </w:r>
          </w:p>
        </w:tc>
        <w:tc>
          <w:tcPr>
            <w:tcW w:w="7953" w:type="dxa"/>
            <w:shd w:val="clear" w:color="auto" w:fill="auto"/>
            <w:vAlign w:val="center"/>
          </w:tcPr>
          <w:p w:rsidR="005E13A7" w:rsidRDefault="0098418E" w:rsidP="006666FF">
            <w:pPr>
              <w:pStyle w:val="TableParagraph"/>
              <w:spacing w:before="240"/>
              <w:ind w:left="101" w:right="86"/>
              <w:jc w:val="both"/>
              <w:rPr>
                <w:noProof/>
                <w:color w:val="000000"/>
                <w:sz w:val="24"/>
                <w:szCs w:val="24"/>
                <w:lang w:val="sq-AL" w:eastAsia="sq-AL"/>
              </w:rPr>
            </w:pPr>
            <w:r w:rsidRPr="0098418E">
              <w:rPr>
                <w:noProof/>
                <w:color w:val="000000"/>
                <w:sz w:val="24"/>
                <w:szCs w:val="24"/>
                <w:lang w:val="sq-AL" w:eastAsia="sq-AL"/>
              </w:rPr>
              <w:t xml:space="preserve">Politikat e rishikimit të ASN bëhen në përputhje me politikën e rishikimit si dhe politikën e trajtimit të gabimeve të vendosura nga INSTAT. Për më </w:t>
            </w:r>
            <w:r w:rsidRPr="0098418E">
              <w:rPr>
                <w:noProof/>
                <w:color w:val="000000"/>
                <w:sz w:val="24"/>
                <w:szCs w:val="24"/>
                <w:lang w:val="sq-AL" w:eastAsia="sq-AL"/>
              </w:rPr>
              <w:lastRenderedPageBreak/>
              <w:t xml:space="preserve">shumë referohuni: </w:t>
            </w:r>
          </w:p>
          <w:p w:rsidR="008B1347" w:rsidRDefault="005E13A7" w:rsidP="008B1347">
            <w:pPr>
              <w:pStyle w:val="TableParagraph"/>
              <w:numPr>
                <w:ilvl w:val="0"/>
                <w:numId w:val="7"/>
              </w:numPr>
              <w:ind w:right="86"/>
              <w:jc w:val="both"/>
              <w:rPr>
                <w:rStyle w:val="Hyperlink"/>
                <w:sz w:val="24"/>
                <w:lang w:val="sq-AL"/>
              </w:rPr>
            </w:pPr>
            <w:r w:rsidRPr="008B1347">
              <w:rPr>
                <w:sz w:val="24"/>
                <w:u w:val="single"/>
                <w:lang w:val="sq-AL"/>
              </w:rPr>
              <w:fldChar w:fldCharType="begin"/>
            </w:r>
            <w:r w:rsidR="00A4147B">
              <w:rPr>
                <w:sz w:val="24"/>
                <w:u w:val="single"/>
                <w:lang w:val="sq-AL"/>
              </w:rPr>
              <w:instrText>HYPERLINK "http://www.instat.gov.al/media/2828/politika_e_trajtimit_te_gabimeve.pdf"</w:instrText>
            </w:r>
            <w:r w:rsidRPr="008B1347">
              <w:rPr>
                <w:sz w:val="24"/>
                <w:u w:val="single"/>
                <w:lang w:val="sq-AL"/>
              </w:rPr>
              <w:fldChar w:fldCharType="separate"/>
            </w:r>
            <w:r w:rsidRPr="00291248">
              <w:rPr>
                <w:rStyle w:val="Hyperlink"/>
                <w:sz w:val="24"/>
                <w:lang w:val="sq-AL"/>
              </w:rPr>
              <w:t>Politika e Revizionimit Statistikor</w:t>
            </w:r>
            <w:r w:rsidR="008B1347">
              <w:rPr>
                <w:rStyle w:val="Hyperlink"/>
                <w:sz w:val="24"/>
                <w:lang w:val="sq-AL"/>
              </w:rPr>
              <w:t xml:space="preserve">    </w:t>
            </w:r>
          </w:p>
          <w:p w:rsidR="008B1347" w:rsidRPr="008B1347" w:rsidRDefault="005E13A7" w:rsidP="008B1347">
            <w:pPr>
              <w:pStyle w:val="TableParagraph"/>
              <w:numPr>
                <w:ilvl w:val="0"/>
                <w:numId w:val="7"/>
              </w:numPr>
              <w:ind w:right="86"/>
              <w:jc w:val="both"/>
              <w:rPr>
                <w:color w:val="0000FF"/>
                <w:sz w:val="24"/>
                <w:u w:val="single"/>
                <w:lang w:val="sq-AL"/>
              </w:rPr>
            </w:pPr>
            <w:r w:rsidRPr="008B1347">
              <w:rPr>
                <w:color w:val="0000FF"/>
                <w:sz w:val="24"/>
                <w:szCs w:val="24"/>
                <w:u w:val="single"/>
                <w:lang w:val="sq-AL"/>
              </w:rPr>
              <w:t>Politika e Trajtimit të Gabimeve</w:t>
            </w:r>
            <w:r w:rsidRPr="008B1347">
              <w:rPr>
                <w:sz w:val="24"/>
                <w:u w:val="single"/>
                <w:lang w:val="sq-AL"/>
              </w:rPr>
              <w:fldChar w:fldCharType="end"/>
            </w:r>
            <w:r w:rsidR="008B1347" w:rsidRPr="008B1347">
              <w:rPr>
                <w:noProof/>
                <w:color w:val="000000"/>
                <w:sz w:val="24"/>
                <w:szCs w:val="24"/>
                <w:lang w:val="sq-AL" w:eastAsia="sq-AL"/>
              </w:rPr>
              <w:t xml:space="preserve"> </w:t>
            </w:r>
          </w:p>
          <w:p w:rsidR="00BD6D4E" w:rsidRPr="00430D9B" w:rsidRDefault="008B1347" w:rsidP="00647E89">
            <w:pPr>
              <w:spacing w:before="240" w:line="240" w:lineRule="auto"/>
              <w:ind w:left="101" w:right="86"/>
              <w:jc w:val="both"/>
              <w:rPr>
                <w:noProof/>
                <w:color w:val="000000"/>
                <w:sz w:val="24"/>
                <w:szCs w:val="24"/>
                <w:lang w:val="sq-AL" w:eastAsia="sq-AL"/>
              </w:rPr>
            </w:pPr>
            <w:r w:rsidRPr="00647E89">
              <w:rPr>
                <w:rFonts w:ascii="Times New Roman" w:eastAsia="Times New Roman" w:hAnsi="Times New Roman" w:cs="Times New Roman"/>
                <w:noProof/>
                <w:color w:val="000000"/>
                <w:sz w:val="24"/>
                <w:szCs w:val="24"/>
                <w:lang w:val="sq-AL" w:eastAsia="sq-AL"/>
              </w:rPr>
              <w:t>Të dhënat paraprake deri në publikimin e rezultateve përfundimtare janë në proces rishikimi. Rishikimi nënkupton plotësimin e vazhdueshëm të të dhënave. Saktësia e të dhënave të publikuara mund të rritet si pasojë e ndryshimeve që mundësohen nga sigurimi i të dhënave të reja më të plota dhe më cilësore, të cilat kontribuojnë në përmirësimin e rezultateve paraprake, të publikuara sipas afateve të parapërcaktuara në kalendarin e publikimeve.</w:t>
            </w:r>
          </w:p>
        </w:tc>
      </w:tr>
      <w:tr w:rsidR="00BD6D4E" w:rsidRPr="00DE4BE4" w:rsidTr="00883F53">
        <w:trPr>
          <w:trHeight w:val="3113"/>
        </w:trPr>
        <w:tc>
          <w:tcPr>
            <w:tcW w:w="2453"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 xml:space="preserve">17.2. Praktika e rishikimit  </w:t>
            </w:r>
          </w:p>
        </w:tc>
        <w:tc>
          <w:tcPr>
            <w:tcW w:w="7953" w:type="dxa"/>
            <w:shd w:val="clear" w:color="auto" w:fill="auto"/>
            <w:vAlign w:val="center"/>
          </w:tcPr>
          <w:p w:rsidR="00CB3648" w:rsidRDefault="0098418E" w:rsidP="00FE2AAB">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Të dhënat</w:t>
            </w:r>
            <w:r w:rsidR="00CB3648">
              <w:rPr>
                <w:rFonts w:ascii="Times New Roman" w:eastAsia="Times New Roman" w:hAnsi="Times New Roman" w:cs="Times New Roman"/>
                <w:noProof/>
                <w:color w:val="000000"/>
                <w:sz w:val="24"/>
                <w:szCs w:val="24"/>
                <w:lang w:val="sq-AL" w:eastAsia="sq-AL"/>
              </w:rPr>
              <w:t xml:space="preserve"> e ASN rishikohen në rastet kur:</w:t>
            </w:r>
          </w:p>
          <w:p w:rsidR="00CB3648" w:rsidRPr="008C1C1A" w:rsidRDefault="0098418E" w:rsidP="00FE2AAB">
            <w:pPr>
              <w:pStyle w:val="ListParagraph"/>
              <w:numPr>
                <w:ilvl w:val="0"/>
                <w:numId w:val="8"/>
              </w:numPr>
              <w:spacing w:after="240"/>
              <w:ind w:right="86"/>
              <w:jc w:val="both"/>
              <w:rPr>
                <w:noProof/>
                <w:color w:val="000000"/>
                <w:lang w:val="sq-AL" w:eastAsia="sq-AL"/>
              </w:rPr>
            </w:pPr>
            <w:r w:rsidRPr="008C1C1A">
              <w:rPr>
                <w:noProof/>
                <w:color w:val="000000"/>
                <w:lang w:val="sq-AL" w:eastAsia="sq-AL"/>
              </w:rPr>
              <w:t xml:space="preserve">Zbatohet një klasifikim i ri aktivitetesh </w:t>
            </w:r>
          </w:p>
          <w:p w:rsidR="00CB3648" w:rsidRPr="008C1C1A" w:rsidRDefault="0098418E" w:rsidP="002D4799">
            <w:pPr>
              <w:pStyle w:val="ListParagraph"/>
              <w:numPr>
                <w:ilvl w:val="0"/>
                <w:numId w:val="8"/>
              </w:numPr>
              <w:spacing w:before="240" w:after="240"/>
              <w:ind w:right="86"/>
              <w:jc w:val="both"/>
              <w:rPr>
                <w:noProof/>
                <w:color w:val="000000"/>
                <w:lang w:val="sq-AL" w:eastAsia="sq-AL"/>
              </w:rPr>
            </w:pPr>
            <w:r w:rsidRPr="008C1C1A">
              <w:rPr>
                <w:noProof/>
                <w:color w:val="000000"/>
                <w:lang w:val="sq-AL" w:eastAsia="sq-AL"/>
              </w:rPr>
              <w:t xml:space="preserve">Ka ndryshime metodologjike </w:t>
            </w:r>
          </w:p>
          <w:p w:rsidR="00CB3648" w:rsidRPr="008C1C1A" w:rsidRDefault="0098418E" w:rsidP="00FE2AAB">
            <w:pPr>
              <w:pStyle w:val="ListParagraph"/>
              <w:numPr>
                <w:ilvl w:val="0"/>
                <w:numId w:val="8"/>
              </w:numPr>
              <w:spacing w:before="240" w:after="240"/>
              <w:ind w:right="86"/>
              <w:jc w:val="both"/>
              <w:rPr>
                <w:noProof/>
                <w:color w:val="000000"/>
                <w:lang w:val="sq-AL" w:eastAsia="sq-AL"/>
              </w:rPr>
            </w:pPr>
            <w:r w:rsidRPr="008C1C1A">
              <w:rPr>
                <w:noProof/>
                <w:color w:val="000000"/>
                <w:lang w:val="sq-AL" w:eastAsia="sq-AL"/>
              </w:rPr>
              <w:t>Rishikohen peshat</w:t>
            </w:r>
            <w:r w:rsidR="00FE2AAB">
              <w:rPr>
                <w:noProof/>
                <w:color w:val="000000"/>
                <w:lang w:val="sq-AL" w:eastAsia="sq-AL"/>
              </w:rPr>
              <w:t xml:space="preserve"> (burime të reja dhe / ose </w:t>
            </w:r>
            <w:r w:rsidR="00FE2AAB" w:rsidRPr="00FE2AAB">
              <w:rPr>
                <w:noProof/>
                <w:color w:val="000000"/>
                <w:lang w:val="sq-AL" w:eastAsia="sq-AL"/>
              </w:rPr>
              <w:t xml:space="preserve">burimeve </w:t>
            </w:r>
            <w:r w:rsidR="00FE2AAB">
              <w:rPr>
                <w:noProof/>
                <w:color w:val="000000"/>
                <w:lang w:val="sq-AL" w:eastAsia="sq-AL"/>
              </w:rPr>
              <w:t>të përmirësuara</w:t>
            </w:r>
            <w:r w:rsidR="00FE2AAB" w:rsidRPr="00FE2AAB">
              <w:rPr>
                <w:noProof/>
                <w:color w:val="000000"/>
                <w:lang w:val="sq-AL" w:eastAsia="sq-AL"/>
              </w:rPr>
              <w:t>, korrigjime të gabimeve)</w:t>
            </w:r>
          </w:p>
          <w:p w:rsidR="00BD6D4E" w:rsidRPr="00430D9B" w:rsidRDefault="0098418E"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ASN përpiqet të ndjekin udhëzimet standarde dhe parime në rishikimet e bëra në bashkëpunim me asistencën teknike të marrë nga eksperiencat më të mira të vendeve të bashkimit evropian. Të gjitha rishikimet janë bërë transparente për përdoruesit dhe janë pjesë e çdo botim</w:t>
            </w:r>
            <w:r w:rsidR="00366EB6">
              <w:rPr>
                <w:rFonts w:ascii="Times New Roman" w:eastAsia="Times New Roman" w:hAnsi="Times New Roman" w:cs="Times New Roman"/>
                <w:noProof/>
                <w:color w:val="000000"/>
                <w:sz w:val="24"/>
                <w:szCs w:val="24"/>
                <w:lang w:val="sq-AL" w:eastAsia="sq-AL"/>
              </w:rPr>
              <w:t>i</w:t>
            </w:r>
            <w:r w:rsidR="00876FAE">
              <w:rPr>
                <w:rFonts w:ascii="Times New Roman" w:eastAsia="Times New Roman" w:hAnsi="Times New Roman" w:cs="Times New Roman"/>
                <w:noProof/>
                <w:color w:val="000000"/>
                <w:sz w:val="24"/>
                <w:szCs w:val="24"/>
                <w:lang w:val="sq-AL" w:eastAsia="sq-AL"/>
              </w:rPr>
              <w:t>.</w:t>
            </w:r>
          </w:p>
        </w:tc>
      </w:tr>
      <w:tr w:rsidR="00BD6D4E" w:rsidRPr="00430D9B" w:rsidTr="00883F53">
        <w:trPr>
          <w:trHeight w:val="656"/>
        </w:trPr>
        <w:tc>
          <w:tcPr>
            <w:tcW w:w="10406" w:type="dxa"/>
            <w:gridSpan w:val="2"/>
            <w:shd w:val="clear" w:color="auto" w:fill="FBD4B4" w:themeFill="accent6" w:themeFillTint="66"/>
            <w:vAlign w:val="center"/>
            <w:hideMark/>
          </w:tcPr>
          <w:p w:rsidR="00BD6D4E" w:rsidRPr="00FB235A" w:rsidRDefault="00BD6D4E" w:rsidP="00807B81">
            <w:pPr>
              <w:pStyle w:val="Heading1"/>
              <w:spacing w:before="240" w:after="240" w:line="240" w:lineRule="auto"/>
              <w:ind w:left="101" w:right="86"/>
              <w:jc w:val="both"/>
              <w:rPr>
                <w:rFonts w:ascii="Times New Roman" w:eastAsia="Times New Roman" w:hAnsi="Times New Roman" w:cs="Times New Roman"/>
                <w:b w:val="0"/>
                <w:noProof/>
                <w:color w:val="000000"/>
                <w:sz w:val="24"/>
                <w:szCs w:val="24"/>
                <w:lang w:val="sq-AL" w:eastAsia="sq-AL"/>
              </w:rPr>
            </w:pPr>
            <w:bookmarkStart w:id="17" w:name="_Toc64358770"/>
            <w:r w:rsidRPr="00FB235A">
              <w:rPr>
                <w:rFonts w:ascii="Times New Roman" w:eastAsia="Times New Roman" w:hAnsi="Times New Roman" w:cs="Times New Roman"/>
                <w:noProof/>
                <w:color w:val="000000"/>
                <w:sz w:val="24"/>
                <w:szCs w:val="24"/>
                <w:lang w:val="sq-AL" w:eastAsia="sq-AL"/>
              </w:rPr>
              <w:t>18. Përpunimi statistikor</w:t>
            </w:r>
            <w:bookmarkEnd w:id="17"/>
          </w:p>
        </w:tc>
      </w:tr>
      <w:tr w:rsidR="00BD6D4E" w:rsidRPr="00DE4BE4" w:rsidTr="00883F53">
        <w:trPr>
          <w:trHeight w:val="431"/>
        </w:trPr>
        <w:tc>
          <w:tcPr>
            <w:tcW w:w="2453"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B80D9A">
              <w:rPr>
                <w:rFonts w:ascii="Times New Roman" w:eastAsia="Times New Roman" w:hAnsi="Times New Roman" w:cs="Times New Roman"/>
                <w:noProof/>
                <w:color w:val="000000"/>
                <w:sz w:val="24"/>
                <w:szCs w:val="24"/>
                <w:lang w:val="sq-AL" w:eastAsia="sq-AL"/>
              </w:rPr>
              <w:t>18.1. Burimi i të dhënave</w:t>
            </w:r>
            <w:r w:rsidRPr="00430D9B">
              <w:rPr>
                <w:rFonts w:ascii="Times New Roman" w:eastAsia="Times New Roman" w:hAnsi="Times New Roman" w:cs="Times New Roman"/>
                <w:noProof/>
                <w:color w:val="000000"/>
                <w:sz w:val="24"/>
                <w:szCs w:val="24"/>
                <w:lang w:val="sq-AL" w:eastAsia="sq-AL"/>
              </w:rPr>
              <w:t> </w:t>
            </w:r>
          </w:p>
        </w:tc>
        <w:tc>
          <w:tcPr>
            <w:tcW w:w="7953" w:type="dxa"/>
            <w:shd w:val="clear" w:color="auto" w:fill="auto"/>
            <w:vAlign w:val="center"/>
          </w:tcPr>
          <w:p w:rsidR="00FF1E21" w:rsidRDefault="00CB3648" w:rsidP="00FF1E21">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FB235A">
              <w:rPr>
                <w:rFonts w:ascii="Times New Roman" w:eastAsia="Times New Roman" w:hAnsi="Times New Roman" w:cs="Times New Roman"/>
                <w:noProof/>
                <w:color w:val="000000"/>
                <w:sz w:val="24"/>
                <w:szCs w:val="24"/>
                <w:lang w:val="sq-AL" w:eastAsia="sq-AL"/>
              </w:rPr>
              <w:t>Si burim i vetëm i mbledhjes së të dhënave është vrojtimi.</w:t>
            </w:r>
            <w:r w:rsidR="00FF1E21" w:rsidRPr="00FF1E21">
              <w:rPr>
                <w:rFonts w:ascii="Times New Roman" w:eastAsia="Times New Roman" w:hAnsi="Times New Roman" w:cs="Times New Roman"/>
                <w:noProof/>
                <w:color w:val="000000"/>
                <w:sz w:val="24"/>
                <w:szCs w:val="24"/>
                <w:lang w:val="sq-AL" w:eastAsia="sq-AL"/>
              </w:rPr>
              <w:t xml:space="preserve"> Si bazë e zgjedhjes shërben </w:t>
            </w:r>
            <w:r w:rsidR="00FF1E21">
              <w:rPr>
                <w:rFonts w:ascii="Times New Roman" w:eastAsia="Times New Roman" w:hAnsi="Times New Roman" w:cs="Times New Roman"/>
                <w:noProof/>
                <w:color w:val="000000"/>
                <w:sz w:val="24"/>
                <w:szCs w:val="24"/>
                <w:lang w:val="sq-AL" w:eastAsia="sq-AL"/>
              </w:rPr>
              <w:t>r</w:t>
            </w:r>
            <w:r w:rsidR="00FF1E21" w:rsidRPr="00FF1E21">
              <w:rPr>
                <w:rFonts w:ascii="Times New Roman" w:eastAsia="Times New Roman" w:hAnsi="Times New Roman" w:cs="Times New Roman"/>
                <w:noProof/>
                <w:color w:val="000000"/>
                <w:sz w:val="24"/>
                <w:szCs w:val="24"/>
                <w:lang w:val="sq-AL" w:eastAsia="sq-AL"/>
              </w:rPr>
              <w:t xml:space="preserve">egjistri i përditësuar i </w:t>
            </w:r>
            <w:r w:rsidR="00FF1E21">
              <w:rPr>
                <w:rFonts w:ascii="Times New Roman" w:eastAsia="Times New Roman" w:hAnsi="Times New Roman" w:cs="Times New Roman"/>
                <w:noProof/>
                <w:color w:val="000000"/>
                <w:sz w:val="24"/>
                <w:szCs w:val="24"/>
                <w:lang w:val="sq-AL" w:eastAsia="sq-AL"/>
              </w:rPr>
              <w:t>n</w:t>
            </w:r>
            <w:r w:rsidR="00FF1E21" w:rsidRPr="00FF1E21">
              <w:rPr>
                <w:rFonts w:ascii="Times New Roman" w:eastAsia="Times New Roman" w:hAnsi="Times New Roman" w:cs="Times New Roman"/>
                <w:noProof/>
                <w:color w:val="000000"/>
                <w:sz w:val="24"/>
                <w:szCs w:val="24"/>
                <w:lang w:val="sq-AL" w:eastAsia="sq-AL"/>
              </w:rPr>
              <w:t xml:space="preserve">dërmarrjeve, </w:t>
            </w:r>
            <w:r w:rsidR="00FF1E21">
              <w:rPr>
                <w:rFonts w:ascii="Times New Roman" w:eastAsia="Times New Roman" w:hAnsi="Times New Roman" w:cs="Times New Roman"/>
                <w:noProof/>
                <w:color w:val="000000"/>
                <w:sz w:val="24"/>
                <w:szCs w:val="24"/>
                <w:lang w:val="sq-AL" w:eastAsia="sq-AL"/>
              </w:rPr>
              <w:t xml:space="preserve">të cilat </w:t>
            </w:r>
            <w:r w:rsidR="00FF1E21" w:rsidRPr="00FF1E21">
              <w:rPr>
                <w:rFonts w:ascii="Times New Roman" w:eastAsia="Times New Roman" w:hAnsi="Times New Roman" w:cs="Times New Roman"/>
                <w:noProof/>
                <w:color w:val="000000"/>
                <w:sz w:val="24"/>
                <w:szCs w:val="24"/>
                <w:lang w:val="sq-AL" w:eastAsia="sq-AL"/>
              </w:rPr>
              <w:t>ishin aktive në Dhjetor të vitit të referencës</w:t>
            </w:r>
            <w:r w:rsidR="00FF1E21">
              <w:rPr>
                <w:rFonts w:ascii="Times New Roman" w:eastAsia="Times New Roman" w:hAnsi="Times New Roman" w:cs="Times New Roman"/>
                <w:noProof/>
                <w:color w:val="000000"/>
                <w:sz w:val="24"/>
                <w:szCs w:val="24"/>
                <w:lang w:val="sq-AL" w:eastAsia="sq-AL"/>
              </w:rPr>
              <w:t>. N</w:t>
            </w:r>
            <w:r w:rsidR="00FF1E21" w:rsidRPr="00FF1E21">
              <w:rPr>
                <w:rFonts w:ascii="Times New Roman" w:eastAsia="Times New Roman" w:hAnsi="Times New Roman" w:cs="Times New Roman"/>
                <w:noProof/>
                <w:color w:val="000000"/>
                <w:sz w:val="24"/>
                <w:szCs w:val="24"/>
                <w:lang w:val="sq-AL" w:eastAsia="sq-AL"/>
              </w:rPr>
              <w:t>ga</w:t>
            </w:r>
            <w:r w:rsidR="00FF1E21">
              <w:rPr>
                <w:rFonts w:ascii="Times New Roman" w:eastAsia="Times New Roman" w:hAnsi="Times New Roman" w:cs="Times New Roman"/>
                <w:noProof/>
                <w:color w:val="000000"/>
                <w:sz w:val="24"/>
                <w:szCs w:val="24"/>
                <w:lang w:val="sq-AL" w:eastAsia="sq-AL"/>
              </w:rPr>
              <w:t xml:space="preserve"> ky regjistër</w:t>
            </w:r>
            <w:r w:rsidR="00FF1E21" w:rsidRPr="00FF1E21">
              <w:rPr>
                <w:rFonts w:ascii="Times New Roman" w:eastAsia="Times New Roman" w:hAnsi="Times New Roman" w:cs="Times New Roman"/>
                <w:noProof/>
                <w:color w:val="000000"/>
                <w:sz w:val="24"/>
                <w:szCs w:val="24"/>
                <w:lang w:val="sq-AL" w:eastAsia="sq-AL"/>
              </w:rPr>
              <w:t xml:space="preserve"> përjashtohen: </w:t>
            </w:r>
          </w:p>
          <w:p w:rsidR="00FF1E21" w:rsidRPr="005B7186" w:rsidRDefault="00FF1E21" w:rsidP="005B7186">
            <w:pPr>
              <w:pStyle w:val="ListParagraph"/>
              <w:numPr>
                <w:ilvl w:val="0"/>
                <w:numId w:val="22"/>
              </w:numPr>
              <w:ind w:right="86"/>
              <w:jc w:val="both"/>
              <w:rPr>
                <w:noProof/>
                <w:color w:val="000000"/>
                <w:lang w:val="sq-AL" w:eastAsia="sq-AL"/>
              </w:rPr>
            </w:pPr>
            <w:r w:rsidRPr="005B7186">
              <w:rPr>
                <w:noProof/>
                <w:color w:val="000000"/>
                <w:lang w:val="sq-AL" w:eastAsia="sq-AL"/>
              </w:rPr>
              <w:t>Njësia lokale</w:t>
            </w:r>
          </w:p>
          <w:p w:rsidR="00FF1E21" w:rsidRPr="005B7186" w:rsidRDefault="00FF1E21" w:rsidP="005B7186">
            <w:pPr>
              <w:pStyle w:val="ListParagraph"/>
              <w:numPr>
                <w:ilvl w:val="0"/>
                <w:numId w:val="22"/>
              </w:numPr>
              <w:ind w:right="86"/>
              <w:jc w:val="both"/>
              <w:rPr>
                <w:noProof/>
                <w:color w:val="000000"/>
                <w:lang w:val="sq-AL" w:eastAsia="sq-AL"/>
              </w:rPr>
            </w:pPr>
            <w:r w:rsidRPr="005B7186">
              <w:rPr>
                <w:noProof/>
                <w:color w:val="000000"/>
                <w:lang w:val="sq-AL" w:eastAsia="sq-AL"/>
              </w:rPr>
              <w:t>Ndërmarrjet me veprimtari jashtë fushë së mbulimit të ASN</w:t>
            </w:r>
          </w:p>
          <w:p w:rsidR="00FF1E21" w:rsidRDefault="00FF1E21" w:rsidP="005B7186">
            <w:pPr>
              <w:pStyle w:val="ListParagraph"/>
              <w:numPr>
                <w:ilvl w:val="0"/>
                <w:numId w:val="22"/>
              </w:numPr>
              <w:ind w:right="86"/>
              <w:rPr>
                <w:noProof/>
                <w:color w:val="000000"/>
                <w:lang w:val="sq-AL" w:eastAsia="sq-AL"/>
              </w:rPr>
            </w:pPr>
            <w:r w:rsidRPr="005B7186">
              <w:rPr>
                <w:noProof/>
                <w:color w:val="000000"/>
                <w:lang w:val="sq-AL" w:eastAsia="sq-AL"/>
              </w:rPr>
              <w:t>Ndërmarrjet shtetërore në Arsim (NVE Rev. 2 85) dhe Shëndetësi (NVE Rev. 2  86, 87, 88).</w:t>
            </w:r>
          </w:p>
          <w:p w:rsidR="00F83CEF" w:rsidRDefault="00F83CEF" w:rsidP="00F83CEF">
            <w:pPr>
              <w:spacing w:after="0" w:line="240" w:lineRule="auto"/>
              <w:ind w:left="101" w:right="86"/>
              <w:jc w:val="both"/>
              <w:rPr>
                <w:rFonts w:ascii="Times New Roman" w:eastAsia="Times New Roman" w:hAnsi="Times New Roman" w:cs="Times New Roman"/>
                <w:noProof/>
                <w:color w:val="000000"/>
                <w:sz w:val="24"/>
                <w:szCs w:val="24"/>
                <w:lang w:val="sq-AL" w:eastAsia="sq-AL"/>
              </w:rPr>
            </w:pPr>
          </w:p>
          <w:p w:rsidR="00F83CEF" w:rsidRPr="00F83CEF" w:rsidRDefault="00F83CEF" w:rsidP="00F83CEF">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F83CEF">
              <w:rPr>
                <w:rFonts w:ascii="Times New Roman" w:eastAsia="Times New Roman" w:hAnsi="Times New Roman" w:cs="Times New Roman"/>
                <w:noProof/>
                <w:color w:val="000000"/>
                <w:sz w:val="24"/>
                <w:szCs w:val="24"/>
                <w:lang w:val="sq-AL" w:eastAsia="sq-AL"/>
              </w:rPr>
              <w:t>N</w:t>
            </w:r>
            <w:r w:rsidR="00BD4F57">
              <w:rPr>
                <w:rFonts w:ascii="Times New Roman" w:eastAsia="Times New Roman" w:hAnsi="Times New Roman" w:cs="Times New Roman"/>
                <w:noProof/>
                <w:color w:val="000000"/>
                <w:sz w:val="24"/>
                <w:szCs w:val="24"/>
                <w:lang w:val="sq-AL" w:eastAsia="sq-AL"/>
              </w:rPr>
              <w:t>ë</w:t>
            </w:r>
            <w:r w:rsidRPr="00F83CEF">
              <w:rPr>
                <w:rFonts w:ascii="Times New Roman" w:eastAsia="Times New Roman" w:hAnsi="Times New Roman" w:cs="Times New Roman"/>
                <w:noProof/>
                <w:color w:val="000000"/>
                <w:sz w:val="24"/>
                <w:szCs w:val="24"/>
                <w:lang w:val="sq-AL" w:eastAsia="sq-AL"/>
              </w:rPr>
              <w:t xml:space="preserve"> </w:t>
            </w:r>
            <w:r w:rsidR="00BD4F57">
              <w:rPr>
                <w:rFonts w:ascii="Times New Roman" w:eastAsia="Times New Roman" w:hAnsi="Times New Roman" w:cs="Times New Roman"/>
                <w:noProof/>
                <w:color w:val="000000"/>
                <w:sz w:val="24"/>
                <w:szCs w:val="24"/>
                <w:lang w:val="sq-AL" w:eastAsia="sq-AL"/>
              </w:rPr>
              <w:t xml:space="preserve">këtë mënyrë krijohet </w:t>
            </w:r>
            <w:r w:rsidRPr="00F83CEF">
              <w:rPr>
                <w:rFonts w:ascii="Times New Roman" w:eastAsia="Times New Roman" w:hAnsi="Times New Roman" w:cs="Times New Roman"/>
                <w:noProof/>
                <w:color w:val="000000"/>
                <w:sz w:val="24"/>
                <w:szCs w:val="24"/>
                <w:lang w:val="sq-AL" w:eastAsia="sq-AL"/>
              </w:rPr>
              <w:t xml:space="preserve">Frame </w:t>
            </w:r>
            <w:r>
              <w:rPr>
                <w:rFonts w:ascii="Times New Roman" w:eastAsia="Times New Roman" w:hAnsi="Times New Roman" w:cs="Times New Roman"/>
                <w:noProof/>
                <w:color w:val="000000"/>
                <w:sz w:val="24"/>
                <w:szCs w:val="24"/>
                <w:lang w:val="sq-AL" w:eastAsia="sq-AL"/>
              </w:rPr>
              <w:t xml:space="preserve">i </w:t>
            </w:r>
            <w:r w:rsidR="00BD4F57">
              <w:rPr>
                <w:rFonts w:ascii="Times New Roman" w:eastAsia="Times New Roman" w:hAnsi="Times New Roman" w:cs="Times New Roman"/>
                <w:noProof/>
                <w:color w:val="000000"/>
                <w:sz w:val="24"/>
                <w:szCs w:val="24"/>
                <w:lang w:val="sq-AL" w:eastAsia="sq-AL"/>
              </w:rPr>
              <w:t xml:space="preserve">cili në total </w:t>
            </w:r>
            <w:r w:rsidRPr="00F83CEF">
              <w:rPr>
                <w:rFonts w:ascii="Times New Roman" w:eastAsia="Times New Roman" w:hAnsi="Times New Roman" w:cs="Times New Roman"/>
                <w:noProof/>
                <w:color w:val="000000"/>
                <w:sz w:val="24"/>
                <w:szCs w:val="24"/>
                <w:lang w:val="sq-AL" w:eastAsia="sq-AL"/>
              </w:rPr>
              <w:t>k</w:t>
            </w:r>
            <w:r w:rsidR="00CD0962">
              <w:rPr>
                <w:rFonts w:ascii="Times New Roman" w:eastAsia="Times New Roman" w:hAnsi="Times New Roman" w:cs="Times New Roman"/>
                <w:noProof/>
                <w:color w:val="000000"/>
                <w:sz w:val="24"/>
                <w:szCs w:val="24"/>
                <w:lang w:val="sq-AL" w:eastAsia="sq-AL"/>
              </w:rPr>
              <w:t>a</w:t>
            </w:r>
            <w:r w:rsidRPr="00F83CEF">
              <w:rPr>
                <w:rFonts w:ascii="Times New Roman" w:eastAsia="Times New Roman" w:hAnsi="Times New Roman" w:cs="Times New Roman"/>
                <w:noProof/>
                <w:color w:val="000000"/>
                <w:sz w:val="24"/>
                <w:szCs w:val="24"/>
                <w:lang w:val="sq-AL" w:eastAsia="sq-AL"/>
              </w:rPr>
              <w:t xml:space="preserve"> 114</w:t>
            </w:r>
            <w:r>
              <w:rPr>
                <w:rFonts w:ascii="Times New Roman" w:eastAsia="Times New Roman" w:hAnsi="Times New Roman" w:cs="Times New Roman"/>
                <w:noProof/>
                <w:color w:val="000000"/>
                <w:sz w:val="24"/>
                <w:szCs w:val="24"/>
                <w:lang w:val="sq-AL" w:eastAsia="sq-AL"/>
              </w:rPr>
              <w:t>,</w:t>
            </w:r>
            <w:r w:rsidRPr="00F83CEF">
              <w:rPr>
                <w:rFonts w:ascii="Times New Roman" w:eastAsia="Times New Roman" w:hAnsi="Times New Roman" w:cs="Times New Roman"/>
                <w:noProof/>
                <w:color w:val="000000"/>
                <w:sz w:val="24"/>
                <w:szCs w:val="24"/>
                <w:lang w:val="sq-AL" w:eastAsia="sq-AL"/>
              </w:rPr>
              <w:t>424 nd</w:t>
            </w:r>
            <w:r>
              <w:rPr>
                <w:rFonts w:ascii="Times New Roman" w:eastAsia="Times New Roman" w:hAnsi="Times New Roman" w:cs="Times New Roman"/>
                <w:noProof/>
                <w:color w:val="000000"/>
                <w:sz w:val="24"/>
                <w:szCs w:val="24"/>
                <w:lang w:val="sq-AL" w:eastAsia="sq-AL"/>
              </w:rPr>
              <w:t>ë</w:t>
            </w:r>
            <w:r w:rsidRPr="00F83CEF">
              <w:rPr>
                <w:rFonts w:ascii="Times New Roman" w:eastAsia="Times New Roman" w:hAnsi="Times New Roman" w:cs="Times New Roman"/>
                <w:noProof/>
                <w:color w:val="000000"/>
                <w:sz w:val="24"/>
                <w:szCs w:val="24"/>
                <w:lang w:val="sq-AL" w:eastAsia="sq-AL"/>
              </w:rPr>
              <w:t>rmarrje nga t</w:t>
            </w:r>
            <w:r>
              <w:rPr>
                <w:rFonts w:ascii="Times New Roman" w:eastAsia="Times New Roman" w:hAnsi="Times New Roman" w:cs="Times New Roman"/>
                <w:noProof/>
                <w:color w:val="000000"/>
                <w:sz w:val="24"/>
                <w:szCs w:val="24"/>
                <w:lang w:val="sq-AL" w:eastAsia="sq-AL"/>
              </w:rPr>
              <w:t>ë</w:t>
            </w:r>
            <w:r w:rsidRPr="00F83CEF">
              <w:rPr>
                <w:rFonts w:ascii="Times New Roman" w:eastAsia="Times New Roman" w:hAnsi="Times New Roman" w:cs="Times New Roman"/>
                <w:noProof/>
                <w:color w:val="000000"/>
                <w:sz w:val="24"/>
                <w:szCs w:val="24"/>
                <w:lang w:val="sq-AL" w:eastAsia="sq-AL"/>
              </w:rPr>
              <w:t xml:space="preserve"> cilat u p</w:t>
            </w:r>
            <w:r w:rsidR="00CD0962">
              <w:rPr>
                <w:rFonts w:ascii="Times New Roman" w:eastAsia="Times New Roman" w:hAnsi="Times New Roman" w:cs="Times New Roman"/>
                <w:noProof/>
                <w:color w:val="000000"/>
                <w:sz w:val="24"/>
                <w:szCs w:val="24"/>
                <w:lang w:val="sq-AL" w:eastAsia="sq-AL"/>
              </w:rPr>
              <w:t>ë</w:t>
            </w:r>
            <w:r w:rsidRPr="00F83CEF">
              <w:rPr>
                <w:rFonts w:ascii="Times New Roman" w:eastAsia="Times New Roman" w:hAnsi="Times New Roman" w:cs="Times New Roman"/>
                <w:noProof/>
                <w:color w:val="000000"/>
                <w:sz w:val="24"/>
                <w:szCs w:val="24"/>
                <w:lang w:val="sq-AL" w:eastAsia="sq-AL"/>
              </w:rPr>
              <w:t>rzgjo</w:t>
            </w:r>
            <w:r>
              <w:rPr>
                <w:rFonts w:ascii="Times New Roman" w:eastAsia="Times New Roman" w:hAnsi="Times New Roman" w:cs="Times New Roman"/>
                <w:noProof/>
                <w:color w:val="000000"/>
                <w:sz w:val="24"/>
                <w:szCs w:val="24"/>
                <w:lang w:val="sq-AL" w:eastAsia="sq-AL"/>
              </w:rPr>
              <w:t xml:space="preserve">dh </w:t>
            </w:r>
            <w:r w:rsidRPr="00F83CEF">
              <w:rPr>
                <w:rFonts w:ascii="Times New Roman" w:eastAsia="Times New Roman" w:hAnsi="Times New Roman" w:cs="Times New Roman"/>
                <w:noProof/>
                <w:color w:val="000000"/>
                <w:sz w:val="24"/>
                <w:szCs w:val="24"/>
                <w:lang w:val="sq-AL" w:eastAsia="sq-AL"/>
              </w:rPr>
              <w:t>kampion</w:t>
            </w:r>
            <w:r>
              <w:rPr>
                <w:rFonts w:ascii="Times New Roman" w:eastAsia="Times New Roman" w:hAnsi="Times New Roman" w:cs="Times New Roman"/>
                <w:noProof/>
                <w:color w:val="000000"/>
                <w:sz w:val="24"/>
                <w:szCs w:val="24"/>
                <w:lang w:val="sq-AL" w:eastAsia="sq-AL"/>
              </w:rPr>
              <w:t>i</w:t>
            </w:r>
            <w:r w:rsidRPr="00F83CEF">
              <w:rPr>
                <w:rFonts w:ascii="Times New Roman" w:eastAsia="Times New Roman" w:hAnsi="Times New Roman" w:cs="Times New Roman"/>
                <w:noProof/>
                <w:color w:val="000000"/>
                <w:sz w:val="24"/>
                <w:szCs w:val="24"/>
                <w:lang w:val="sq-AL" w:eastAsia="sq-AL"/>
              </w:rPr>
              <w:t xml:space="preserve"> me madh</w:t>
            </w:r>
            <w:r>
              <w:rPr>
                <w:rFonts w:ascii="Times New Roman" w:eastAsia="Times New Roman" w:hAnsi="Times New Roman" w:cs="Times New Roman"/>
                <w:noProof/>
                <w:color w:val="000000"/>
                <w:sz w:val="24"/>
                <w:szCs w:val="24"/>
                <w:lang w:val="sq-AL" w:eastAsia="sq-AL"/>
              </w:rPr>
              <w:t>ë</w:t>
            </w:r>
            <w:r w:rsidRPr="00F83CEF">
              <w:rPr>
                <w:rFonts w:ascii="Times New Roman" w:eastAsia="Times New Roman" w:hAnsi="Times New Roman" w:cs="Times New Roman"/>
                <w:noProof/>
                <w:color w:val="000000"/>
                <w:sz w:val="24"/>
                <w:szCs w:val="24"/>
                <w:lang w:val="sq-AL" w:eastAsia="sq-AL"/>
              </w:rPr>
              <w:t xml:space="preserve">si </w:t>
            </w:r>
            <w:r>
              <w:rPr>
                <w:rFonts w:ascii="Times New Roman" w:eastAsia="Times New Roman" w:hAnsi="Times New Roman" w:cs="Times New Roman"/>
                <w:noProof/>
                <w:color w:val="000000"/>
                <w:sz w:val="24"/>
                <w:szCs w:val="24"/>
                <w:lang w:val="sq-AL" w:eastAsia="sq-AL"/>
              </w:rPr>
              <w:t xml:space="preserve">prej </w:t>
            </w:r>
            <w:r w:rsidRPr="00F83CEF">
              <w:rPr>
                <w:rFonts w:ascii="Times New Roman" w:eastAsia="Times New Roman" w:hAnsi="Times New Roman" w:cs="Times New Roman"/>
                <w:noProof/>
                <w:color w:val="000000"/>
                <w:sz w:val="24"/>
                <w:szCs w:val="24"/>
                <w:lang w:val="sq-AL" w:eastAsia="sq-AL"/>
              </w:rPr>
              <w:t>18</w:t>
            </w:r>
            <w:r>
              <w:rPr>
                <w:rFonts w:ascii="Times New Roman" w:eastAsia="Times New Roman" w:hAnsi="Times New Roman" w:cs="Times New Roman"/>
                <w:noProof/>
                <w:color w:val="000000"/>
                <w:sz w:val="24"/>
                <w:szCs w:val="24"/>
                <w:lang w:val="sq-AL" w:eastAsia="sq-AL"/>
              </w:rPr>
              <w:t>,</w:t>
            </w:r>
            <w:r w:rsidRPr="00F83CEF">
              <w:rPr>
                <w:rFonts w:ascii="Times New Roman" w:eastAsia="Times New Roman" w:hAnsi="Times New Roman" w:cs="Times New Roman"/>
                <w:noProof/>
                <w:color w:val="000000"/>
                <w:sz w:val="24"/>
                <w:szCs w:val="24"/>
                <w:lang w:val="sq-AL" w:eastAsia="sq-AL"/>
              </w:rPr>
              <w:t>363 ndermarrje.</w:t>
            </w:r>
          </w:p>
          <w:p w:rsidR="00F83CEF" w:rsidRDefault="00FF1E21" w:rsidP="00BD4F57">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FF1E21">
              <w:rPr>
                <w:rFonts w:ascii="Times New Roman" w:eastAsia="Times New Roman" w:hAnsi="Times New Roman" w:cs="Times New Roman"/>
                <w:noProof/>
                <w:color w:val="000000"/>
                <w:sz w:val="24"/>
                <w:szCs w:val="24"/>
                <w:lang w:val="sq-AL" w:eastAsia="sq-AL"/>
              </w:rPr>
              <w:t xml:space="preserve">Metoda e përzgjedhjes së përdorur është </w:t>
            </w:r>
            <w:r>
              <w:rPr>
                <w:rFonts w:ascii="Times New Roman" w:eastAsia="Times New Roman" w:hAnsi="Times New Roman" w:cs="Times New Roman"/>
                <w:noProof/>
                <w:color w:val="000000"/>
                <w:sz w:val="24"/>
                <w:szCs w:val="24"/>
                <w:lang w:val="sq-AL" w:eastAsia="sq-AL"/>
              </w:rPr>
              <w:t>“</w:t>
            </w:r>
            <w:r w:rsidRPr="00FF1E21">
              <w:rPr>
                <w:rFonts w:ascii="Times New Roman" w:eastAsia="Times New Roman" w:hAnsi="Times New Roman" w:cs="Times New Roman"/>
                <w:noProof/>
                <w:color w:val="000000"/>
                <w:sz w:val="24"/>
                <w:szCs w:val="24"/>
                <w:lang w:val="sq-AL" w:eastAsia="sq-AL"/>
              </w:rPr>
              <w:t>Stratified S</w:t>
            </w:r>
            <w:r>
              <w:rPr>
                <w:rFonts w:ascii="Times New Roman" w:eastAsia="Times New Roman" w:hAnsi="Times New Roman" w:cs="Times New Roman"/>
                <w:noProof/>
                <w:color w:val="000000"/>
                <w:sz w:val="24"/>
                <w:szCs w:val="24"/>
                <w:lang w:val="sq-AL" w:eastAsia="sq-AL"/>
              </w:rPr>
              <w:t>ystematic Random Sampling (SRS)”</w:t>
            </w:r>
            <w:r w:rsidRPr="00FF1E21">
              <w:rPr>
                <w:rFonts w:ascii="Times New Roman" w:eastAsia="Times New Roman" w:hAnsi="Times New Roman" w:cs="Times New Roman"/>
                <w:noProof/>
                <w:color w:val="000000"/>
                <w:sz w:val="24"/>
                <w:szCs w:val="24"/>
                <w:lang w:val="sq-AL" w:eastAsia="sq-AL"/>
              </w:rPr>
              <w:t xml:space="preserve">. </w:t>
            </w:r>
            <w:r>
              <w:rPr>
                <w:rFonts w:ascii="Times New Roman" w:eastAsia="Times New Roman" w:hAnsi="Times New Roman" w:cs="Times New Roman"/>
                <w:noProof/>
                <w:color w:val="000000"/>
                <w:sz w:val="24"/>
                <w:szCs w:val="24"/>
                <w:lang w:val="sq-AL" w:eastAsia="sq-AL"/>
              </w:rPr>
              <w:t>Shtresëzimi</w:t>
            </w:r>
            <w:r w:rsidRPr="00FF1E21">
              <w:rPr>
                <w:rFonts w:ascii="Times New Roman" w:eastAsia="Times New Roman" w:hAnsi="Times New Roman" w:cs="Times New Roman"/>
                <w:noProof/>
                <w:color w:val="000000"/>
                <w:sz w:val="24"/>
                <w:szCs w:val="24"/>
                <w:lang w:val="sq-AL" w:eastAsia="sq-AL"/>
              </w:rPr>
              <w:t xml:space="preserve"> bazohet kryesisht në NACE Rev.2, 2 shifr</w:t>
            </w:r>
            <w:r>
              <w:rPr>
                <w:rFonts w:ascii="Times New Roman" w:eastAsia="Times New Roman" w:hAnsi="Times New Roman" w:cs="Times New Roman"/>
                <w:noProof/>
                <w:color w:val="000000"/>
                <w:sz w:val="24"/>
                <w:szCs w:val="24"/>
                <w:lang w:val="sq-AL" w:eastAsia="sq-AL"/>
              </w:rPr>
              <w:t>or</w:t>
            </w:r>
            <w:r w:rsidRPr="00FF1E21">
              <w:rPr>
                <w:rFonts w:ascii="Times New Roman" w:eastAsia="Times New Roman" w:hAnsi="Times New Roman" w:cs="Times New Roman"/>
                <w:noProof/>
                <w:color w:val="000000"/>
                <w:sz w:val="24"/>
                <w:szCs w:val="24"/>
                <w:lang w:val="sq-AL" w:eastAsia="sq-AL"/>
              </w:rPr>
              <w:t xml:space="preserve"> dhe madhësia e ndërmarrjeve (numri i të punësuarve). Klasifikimi i ndërmarrjeve sipas aktivitetit bëhet sipas Nomenklaturës së Aktiviteteve Ekonomike, NACE Rev.2. Klasifikimi i ndërmarrjeve sipas madhësisë bëhet sipas numrit të të punësuarve (të matur si të punësuar me orar të plotë).</w:t>
            </w:r>
          </w:p>
          <w:p w:rsidR="00BD6D4E" w:rsidRPr="00CB3648" w:rsidRDefault="00FF1E21" w:rsidP="00772C2F">
            <w:pPr>
              <w:spacing w:line="240" w:lineRule="auto"/>
              <w:ind w:left="101" w:right="86"/>
              <w:jc w:val="both"/>
              <w:rPr>
                <w:rFonts w:ascii="Times New Roman" w:eastAsia="Times New Roman" w:hAnsi="Times New Roman" w:cs="Times New Roman"/>
                <w:noProof/>
                <w:color w:val="000000"/>
                <w:sz w:val="24"/>
                <w:szCs w:val="24"/>
                <w:lang w:val="sq-AL" w:eastAsia="sq-AL"/>
              </w:rPr>
            </w:pPr>
            <w:r w:rsidRPr="00FF1E21">
              <w:rPr>
                <w:rFonts w:ascii="Times New Roman" w:eastAsia="Times New Roman" w:hAnsi="Times New Roman" w:cs="Times New Roman"/>
                <w:noProof/>
                <w:color w:val="000000"/>
                <w:sz w:val="24"/>
                <w:szCs w:val="24"/>
                <w:lang w:val="sq-AL" w:eastAsia="sq-AL"/>
              </w:rPr>
              <w:t>Për ndërmarrjet me 1-9 të punësuar është marrë kampion me zgjedhje për anketim. Ndërmarrjet me 10 e më shumë të punësuar janë anketuar tërësisht.</w:t>
            </w:r>
            <w:r>
              <w:t xml:space="preserve"> </w:t>
            </w:r>
            <w:r w:rsidRPr="00FF1E21">
              <w:rPr>
                <w:rFonts w:ascii="Times New Roman" w:eastAsia="Times New Roman" w:hAnsi="Times New Roman" w:cs="Times New Roman"/>
                <w:noProof/>
                <w:color w:val="000000"/>
                <w:sz w:val="24"/>
                <w:szCs w:val="24"/>
                <w:lang w:val="sq-AL" w:eastAsia="sq-AL"/>
              </w:rPr>
              <w:t xml:space="preserve">Metoda e përdorur për shpërndarjen e kampionit nëpër </w:t>
            </w:r>
            <w:r>
              <w:rPr>
                <w:rFonts w:ascii="Times New Roman" w:eastAsia="Times New Roman" w:hAnsi="Times New Roman" w:cs="Times New Roman"/>
                <w:noProof/>
                <w:color w:val="000000"/>
                <w:sz w:val="24"/>
                <w:szCs w:val="24"/>
                <w:lang w:val="sq-AL" w:eastAsia="sq-AL"/>
              </w:rPr>
              <w:t>shtresa (</w:t>
            </w:r>
            <w:r w:rsidRPr="00FF1E21">
              <w:rPr>
                <w:rFonts w:ascii="Times New Roman" w:eastAsia="Times New Roman" w:hAnsi="Times New Roman" w:cs="Times New Roman"/>
                <w:noProof/>
                <w:color w:val="000000"/>
                <w:sz w:val="24"/>
                <w:szCs w:val="24"/>
                <w:lang w:val="sq-AL" w:eastAsia="sq-AL"/>
              </w:rPr>
              <w:t>strata</w:t>
            </w:r>
            <w:r>
              <w:rPr>
                <w:rFonts w:ascii="Times New Roman" w:eastAsia="Times New Roman" w:hAnsi="Times New Roman" w:cs="Times New Roman"/>
                <w:noProof/>
                <w:color w:val="000000"/>
                <w:sz w:val="24"/>
                <w:szCs w:val="24"/>
                <w:lang w:val="sq-AL" w:eastAsia="sq-AL"/>
              </w:rPr>
              <w:t>)</w:t>
            </w:r>
            <w:r w:rsidRPr="00FF1E21">
              <w:rPr>
                <w:rFonts w:ascii="Times New Roman" w:eastAsia="Times New Roman" w:hAnsi="Times New Roman" w:cs="Times New Roman"/>
                <w:noProof/>
                <w:color w:val="000000"/>
                <w:sz w:val="24"/>
                <w:szCs w:val="24"/>
                <w:lang w:val="sq-AL" w:eastAsia="sq-AL"/>
              </w:rPr>
              <w:t xml:space="preserve"> është metoda e </w:t>
            </w:r>
            <w:r>
              <w:rPr>
                <w:rFonts w:ascii="Times New Roman" w:eastAsia="Times New Roman" w:hAnsi="Times New Roman" w:cs="Times New Roman"/>
                <w:noProof/>
                <w:color w:val="000000"/>
                <w:sz w:val="24"/>
                <w:szCs w:val="24"/>
                <w:lang w:val="sq-AL" w:eastAsia="sq-AL"/>
              </w:rPr>
              <w:t>“</w:t>
            </w:r>
            <w:r w:rsidRPr="00FF1E21">
              <w:rPr>
                <w:rFonts w:ascii="Times New Roman" w:eastAsia="Times New Roman" w:hAnsi="Times New Roman" w:cs="Times New Roman"/>
                <w:noProof/>
                <w:color w:val="000000"/>
                <w:sz w:val="24"/>
                <w:szCs w:val="24"/>
                <w:lang w:val="sq-AL" w:eastAsia="sq-AL"/>
              </w:rPr>
              <w:t>Ne</w:t>
            </w:r>
            <w:r>
              <w:rPr>
                <w:rFonts w:ascii="Times New Roman" w:eastAsia="Times New Roman" w:hAnsi="Times New Roman" w:cs="Times New Roman"/>
                <w:noProof/>
                <w:color w:val="000000"/>
                <w:sz w:val="24"/>
                <w:szCs w:val="24"/>
                <w:lang w:val="sq-AL" w:eastAsia="sq-AL"/>
              </w:rPr>
              <w:t>y</w:t>
            </w:r>
            <w:r w:rsidRPr="00FF1E21">
              <w:rPr>
                <w:rFonts w:ascii="Times New Roman" w:eastAsia="Times New Roman" w:hAnsi="Times New Roman" w:cs="Times New Roman"/>
                <w:noProof/>
                <w:color w:val="000000"/>
                <w:sz w:val="24"/>
                <w:szCs w:val="24"/>
                <w:lang w:val="sq-AL" w:eastAsia="sq-AL"/>
              </w:rPr>
              <w:t>man</w:t>
            </w:r>
            <w:r>
              <w:rPr>
                <w:rFonts w:ascii="Times New Roman" w:eastAsia="Times New Roman" w:hAnsi="Times New Roman" w:cs="Times New Roman"/>
                <w:noProof/>
                <w:color w:val="000000"/>
                <w:sz w:val="24"/>
                <w:szCs w:val="24"/>
                <w:lang w:val="sq-AL" w:eastAsia="sq-AL"/>
              </w:rPr>
              <w:t xml:space="preserve"> Allocation”</w:t>
            </w:r>
            <w:r w:rsidR="00772C2F">
              <w:rPr>
                <w:rFonts w:ascii="Times New Roman" w:eastAsia="Times New Roman" w:hAnsi="Times New Roman" w:cs="Times New Roman"/>
                <w:noProof/>
                <w:color w:val="000000"/>
                <w:sz w:val="24"/>
                <w:szCs w:val="24"/>
                <w:lang w:val="sq-AL" w:eastAsia="sq-AL"/>
              </w:rPr>
              <w:t>,</w:t>
            </w:r>
            <w:r w:rsidRPr="00FF1E21">
              <w:rPr>
                <w:rFonts w:ascii="Times New Roman" w:eastAsia="Times New Roman" w:hAnsi="Times New Roman" w:cs="Times New Roman"/>
                <w:noProof/>
                <w:color w:val="000000"/>
                <w:sz w:val="24"/>
                <w:szCs w:val="24"/>
                <w:lang w:val="sq-AL" w:eastAsia="sq-AL"/>
              </w:rPr>
              <w:t xml:space="preserve"> në dome</w:t>
            </w:r>
            <w:r w:rsidR="00BD4F57">
              <w:rPr>
                <w:rFonts w:ascii="Times New Roman" w:eastAsia="Times New Roman" w:hAnsi="Times New Roman" w:cs="Times New Roman"/>
                <w:noProof/>
                <w:color w:val="000000"/>
                <w:sz w:val="24"/>
                <w:szCs w:val="24"/>
                <w:lang w:val="sq-AL" w:eastAsia="sq-AL"/>
              </w:rPr>
              <w:t>i</w:t>
            </w:r>
            <w:r w:rsidRPr="00FF1E21">
              <w:rPr>
                <w:rFonts w:ascii="Times New Roman" w:eastAsia="Times New Roman" w:hAnsi="Times New Roman" w:cs="Times New Roman"/>
                <w:noProof/>
                <w:color w:val="000000"/>
                <w:sz w:val="24"/>
                <w:szCs w:val="24"/>
                <w:lang w:val="sq-AL" w:eastAsia="sq-AL"/>
              </w:rPr>
              <w:t>n</w:t>
            </w:r>
            <w:r w:rsidR="00BD4F57">
              <w:rPr>
                <w:rFonts w:ascii="Times New Roman" w:eastAsia="Times New Roman" w:hAnsi="Times New Roman" w:cs="Times New Roman"/>
                <w:noProof/>
                <w:color w:val="000000"/>
                <w:sz w:val="24"/>
                <w:szCs w:val="24"/>
                <w:lang w:val="sq-AL" w:eastAsia="sq-AL"/>
              </w:rPr>
              <w:t>et</w:t>
            </w:r>
            <w:r w:rsidRPr="00FF1E21">
              <w:rPr>
                <w:rFonts w:ascii="Times New Roman" w:eastAsia="Times New Roman" w:hAnsi="Times New Roman" w:cs="Times New Roman"/>
                <w:noProof/>
                <w:color w:val="000000"/>
                <w:sz w:val="24"/>
                <w:szCs w:val="24"/>
                <w:lang w:val="sq-AL" w:eastAsia="sq-AL"/>
              </w:rPr>
              <w:t xml:space="preserve"> e </w:t>
            </w:r>
            <w:r>
              <w:rPr>
                <w:rFonts w:ascii="Times New Roman" w:eastAsia="Times New Roman" w:hAnsi="Times New Roman" w:cs="Times New Roman"/>
                <w:noProof/>
                <w:color w:val="000000"/>
                <w:sz w:val="24"/>
                <w:szCs w:val="24"/>
                <w:lang w:val="sq-AL" w:eastAsia="sq-AL"/>
              </w:rPr>
              <w:t>publik</w:t>
            </w:r>
            <w:r w:rsidRPr="00FF1E21">
              <w:rPr>
                <w:rFonts w:ascii="Times New Roman" w:eastAsia="Times New Roman" w:hAnsi="Times New Roman" w:cs="Times New Roman"/>
                <w:noProof/>
                <w:color w:val="000000"/>
                <w:sz w:val="24"/>
                <w:szCs w:val="24"/>
                <w:lang w:val="sq-AL" w:eastAsia="sq-AL"/>
              </w:rPr>
              <w:t>imit</w:t>
            </w:r>
            <w:r>
              <w:rPr>
                <w:rFonts w:ascii="Times New Roman" w:eastAsia="Times New Roman" w:hAnsi="Times New Roman" w:cs="Times New Roman"/>
                <w:noProof/>
                <w:color w:val="000000"/>
                <w:sz w:val="24"/>
                <w:szCs w:val="24"/>
                <w:lang w:val="sq-AL" w:eastAsia="sq-AL"/>
              </w:rPr>
              <w:t>.</w:t>
            </w:r>
          </w:p>
        </w:tc>
      </w:tr>
      <w:tr w:rsidR="00BD6D4E" w:rsidRPr="00DE4BE4" w:rsidTr="00883F53">
        <w:trPr>
          <w:trHeight w:val="593"/>
        </w:trPr>
        <w:tc>
          <w:tcPr>
            <w:tcW w:w="2453"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18.2. Shpeshtësia e grumbullimit të të dhënave</w:t>
            </w:r>
          </w:p>
        </w:tc>
        <w:tc>
          <w:tcPr>
            <w:tcW w:w="7953" w:type="dxa"/>
            <w:shd w:val="clear" w:color="auto" w:fill="auto"/>
            <w:noWrap/>
            <w:vAlign w:val="center"/>
            <w:hideMark/>
          </w:tcPr>
          <w:p w:rsidR="00BD6D4E" w:rsidRPr="00430D9B" w:rsidRDefault="0098418E" w:rsidP="00FB235A">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Të dhënat grumbullohen në baza vjetore.</w:t>
            </w:r>
          </w:p>
        </w:tc>
      </w:tr>
      <w:tr w:rsidR="00BD6D4E" w:rsidRPr="00DE4BE4" w:rsidTr="004767F6">
        <w:trPr>
          <w:trHeight w:val="608"/>
        </w:trPr>
        <w:tc>
          <w:tcPr>
            <w:tcW w:w="2453"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18.3. Grumbullimi i të dhënave</w:t>
            </w:r>
          </w:p>
        </w:tc>
        <w:tc>
          <w:tcPr>
            <w:tcW w:w="7953" w:type="dxa"/>
            <w:shd w:val="clear" w:color="auto" w:fill="auto"/>
            <w:vAlign w:val="center"/>
          </w:tcPr>
          <w:p w:rsidR="00883F53" w:rsidRDefault="0098418E" w:rsidP="00883F5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 xml:space="preserve">Të dhënat e ASN mblidhen me intervistim ballë për ballë me pyetësorë letër. Programet dhe procedurat e nevojshme për hedhjen manuale të të dhënave përgatiten para se të fillojë mbledhja e të dhënave. Paraprakisht procedurat dhe programet e nevojshëm janë testuar dhe janë bërë korrigjimet eventuale. Të gjitha të dhënat janë të integruara në një bazë të dhënash të vetme, pasi është kryer hedhja dhe kontrolli i të dhënave. Vrojtimi i ASN-së ka katër pyetësorë për katër aktivitetet kryesore (të industrisë, ndërtimit, tregtisë dhe shërbimeve). Para kryerjes së anketës përdoruesit kryesorë pyeten mbi nevojat që ata kanë për shtim të pyetjeve në pyetësor. Bazuar në rezultatet e këtyre nevojave bëhet dhe dizenjimi final i pyetësorit i cili nuk ka ndryshime të mëdha në vite. </w:t>
            </w:r>
          </w:p>
          <w:p w:rsidR="00BD6D4E" w:rsidRPr="00430D9B" w:rsidRDefault="0098418E" w:rsidP="00883F5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Faza e rëndësishme në përgatitjen për grumbullimin e të dhënave është përgatitja e të gjitha materialeve të nevojshme dhe e programeve të hedhjes dhe të përpunimit të të dhënave. Duhet që të jenë përcaktuar ndërmarrjet që do intervistohen, numri i nevojshëm i anketuesve dhe duhet të jetë bërë përzgjedhja e tyre. Gjatë trajnimit të organizuar për anketuesit se si të kryejnë vrojtimin ata gjithashtu pajisen materiale të nevojshme si udhëzuesi i pyetësorit, detyrat e anketuesit, lista e aktiviteteve ekonomik, lista e produkteve, letër njoftimit për ndërmarrjet etj. Në procesin e mbledhjes së të dhënave janë të regjistruar çdo gjë e raportuar nga ndërmarrjet. Në rast të paqartësive, ndërmarrja ri-kontaktohet. Në rast të mospërgjgjes, ndërmarrjes i dërgohet një shkresë zyrtare e nënshkruar nga titullari i Institucionit. Anketuesit i kërkohet të sillet në mënyrë etike në rastet e refuzimeve nga ndërmarrjet.</w:t>
            </w:r>
          </w:p>
        </w:tc>
      </w:tr>
      <w:tr w:rsidR="00BD6D4E" w:rsidRPr="00430D9B" w:rsidTr="004767F6">
        <w:trPr>
          <w:trHeight w:val="608"/>
        </w:trPr>
        <w:tc>
          <w:tcPr>
            <w:tcW w:w="2453"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18.4. Vlefshmëria e të dhënave</w:t>
            </w:r>
          </w:p>
        </w:tc>
        <w:tc>
          <w:tcPr>
            <w:tcW w:w="7953" w:type="dxa"/>
            <w:shd w:val="clear" w:color="auto" w:fill="auto"/>
            <w:vAlign w:val="center"/>
          </w:tcPr>
          <w:p w:rsidR="000D5BD9" w:rsidRDefault="0098418E" w:rsidP="0062661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 xml:space="preserve">Sa i përket vlefshmërisë së të dhënave, procedurat e redaktimit të të dhënave në përgjithësi i referohen redaktimit në nivel mikro ose ndryshe në nivel ndërmarrje. </w:t>
            </w:r>
          </w:p>
          <w:p w:rsidR="00626614" w:rsidRDefault="0098418E" w:rsidP="00E62B91">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 xml:space="preserve">1. Kontrolli fizik i pyetësorit. </w:t>
            </w:r>
          </w:p>
          <w:p w:rsidR="00626614" w:rsidRPr="00644BCB" w:rsidRDefault="0098418E" w:rsidP="00E62B91">
            <w:pPr>
              <w:pStyle w:val="ListParagraph"/>
              <w:numPr>
                <w:ilvl w:val="0"/>
                <w:numId w:val="12"/>
              </w:numPr>
              <w:spacing w:after="240"/>
              <w:ind w:right="86"/>
              <w:jc w:val="both"/>
              <w:rPr>
                <w:noProof/>
                <w:color w:val="000000"/>
                <w:lang w:val="sq-AL" w:eastAsia="sq-AL"/>
              </w:rPr>
            </w:pPr>
            <w:r w:rsidRPr="00644BCB">
              <w:rPr>
                <w:noProof/>
                <w:color w:val="000000"/>
                <w:lang w:val="sq-AL" w:eastAsia="sq-AL"/>
              </w:rPr>
              <w:t xml:space="preserve">Kontrolli i pyetësorëve të mbledhur, kontrolle të tërësisë së plotësimit, saktësisë së vlerave dhe kontrollit logjik i pyetësorit. Stafi kontrollues ka një program specifik për të kryer kontrollin matematikore të pyetësorit. Numri i pyetësorëve të mbledhur duhet të jetë i barabartë me numrin e pyetësorëve të shpërndarë në qarqe. </w:t>
            </w:r>
          </w:p>
          <w:p w:rsidR="00626614" w:rsidRDefault="0098418E" w:rsidP="002D4799">
            <w:pPr>
              <w:pStyle w:val="ListParagraph"/>
              <w:numPr>
                <w:ilvl w:val="0"/>
                <w:numId w:val="12"/>
              </w:numPr>
              <w:spacing w:before="240" w:after="240"/>
              <w:ind w:right="86"/>
              <w:jc w:val="both"/>
              <w:rPr>
                <w:noProof/>
                <w:color w:val="000000"/>
                <w:lang w:val="sq-AL" w:eastAsia="sq-AL"/>
              </w:rPr>
            </w:pPr>
            <w:r w:rsidRPr="00242E64">
              <w:rPr>
                <w:noProof/>
                <w:color w:val="000000"/>
                <w:lang w:val="sq-AL" w:eastAsia="sq-AL"/>
              </w:rPr>
              <w:t xml:space="preserve">Kontrolle individuale janë bërë për rastet e refuzimit dhe pa kontakte. </w:t>
            </w:r>
          </w:p>
          <w:p w:rsidR="00626614" w:rsidRDefault="0098418E" w:rsidP="002D4799">
            <w:pPr>
              <w:pStyle w:val="ListParagraph"/>
              <w:numPr>
                <w:ilvl w:val="0"/>
                <w:numId w:val="12"/>
              </w:numPr>
              <w:spacing w:before="240" w:after="240"/>
              <w:ind w:right="86"/>
              <w:jc w:val="both"/>
              <w:rPr>
                <w:noProof/>
                <w:color w:val="000000"/>
                <w:lang w:val="sq-AL" w:eastAsia="sq-AL"/>
              </w:rPr>
            </w:pPr>
            <w:r w:rsidRPr="00242E64">
              <w:rPr>
                <w:noProof/>
                <w:color w:val="000000"/>
                <w:lang w:val="sq-AL" w:eastAsia="sq-AL"/>
              </w:rPr>
              <w:t xml:space="preserve">Ndërmarrjet e përgjigjura kontrollohen për koherencën e të dhënave midis sesioneve të ndryshme të pyetësorit. </w:t>
            </w:r>
          </w:p>
          <w:p w:rsidR="003C4532" w:rsidRDefault="0098418E" w:rsidP="002D4799">
            <w:pPr>
              <w:pStyle w:val="ListParagraph"/>
              <w:numPr>
                <w:ilvl w:val="0"/>
                <w:numId w:val="12"/>
              </w:numPr>
              <w:spacing w:before="240" w:after="240"/>
              <w:ind w:right="86"/>
              <w:jc w:val="both"/>
              <w:rPr>
                <w:noProof/>
                <w:color w:val="000000"/>
                <w:lang w:val="sq-AL" w:eastAsia="sq-AL"/>
              </w:rPr>
            </w:pPr>
            <w:r w:rsidRPr="00242E64">
              <w:rPr>
                <w:noProof/>
                <w:color w:val="000000"/>
                <w:lang w:val="sq-AL" w:eastAsia="sq-AL"/>
              </w:rPr>
              <w:t xml:space="preserve">Kontrolli i indikatorit të ndërmarrjes dhe aktivitetit ekonomik dhe kodimi i tyre. </w:t>
            </w:r>
          </w:p>
          <w:p w:rsidR="003C4532" w:rsidRPr="003C4532" w:rsidRDefault="0098418E" w:rsidP="003C4532">
            <w:pPr>
              <w:spacing w:before="240" w:after="0" w:line="240" w:lineRule="auto"/>
              <w:ind w:left="101" w:right="86"/>
              <w:jc w:val="both"/>
              <w:rPr>
                <w:rFonts w:ascii="Times New Roman" w:eastAsia="Times New Roman" w:hAnsi="Times New Roman" w:cs="Times New Roman"/>
                <w:b/>
                <w:noProof/>
                <w:color w:val="000000"/>
                <w:sz w:val="24"/>
                <w:szCs w:val="24"/>
                <w:lang w:val="sq-AL" w:eastAsia="sq-AL"/>
              </w:rPr>
            </w:pPr>
            <w:r w:rsidRPr="003C4532">
              <w:rPr>
                <w:rFonts w:ascii="Times New Roman" w:eastAsia="Times New Roman" w:hAnsi="Times New Roman" w:cs="Times New Roman"/>
                <w:b/>
                <w:noProof/>
                <w:color w:val="000000"/>
                <w:sz w:val="24"/>
                <w:szCs w:val="24"/>
                <w:lang w:val="sq-AL" w:eastAsia="sq-AL"/>
              </w:rPr>
              <w:t xml:space="preserve">2. Kontrolli i informacionit të vrojtimit me burimet administrative. </w:t>
            </w:r>
          </w:p>
          <w:p w:rsidR="003C4532" w:rsidRDefault="0098418E" w:rsidP="003C4532">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3C4532">
              <w:rPr>
                <w:rFonts w:ascii="Times New Roman" w:eastAsia="Times New Roman" w:hAnsi="Times New Roman" w:cs="Times New Roman"/>
                <w:b/>
                <w:noProof/>
                <w:color w:val="000000"/>
                <w:sz w:val="24"/>
                <w:szCs w:val="24"/>
                <w:lang w:val="sq-AL" w:eastAsia="sq-AL"/>
              </w:rPr>
              <w:t>3. Pesha e përshtatshme ri-llogaritet për çdo njësi që ka raportuar të dhënat e saj</w:t>
            </w:r>
            <w:r w:rsidRPr="003C4532">
              <w:rPr>
                <w:rFonts w:ascii="Times New Roman" w:eastAsia="Times New Roman" w:hAnsi="Times New Roman" w:cs="Times New Roman"/>
                <w:noProof/>
                <w:color w:val="000000"/>
                <w:sz w:val="24"/>
                <w:szCs w:val="24"/>
                <w:lang w:val="sq-AL" w:eastAsia="sq-AL"/>
              </w:rPr>
              <w:t xml:space="preserve">. </w:t>
            </w:r>
          </w:p>
          <w:p w:rsidR="00BD6D4E" w:rsidRPr="003C4532" w:rsidRDefault="0098418E" w:rsidP="003C4532">
            <w:pPr>
              <w:spacing w:after="240" w:line="240" w:lineRule="auto"/>
              <w:ind w:left="101" w:right="86"/>
              <w:jc w:val="both"/>
              <w:rPr>
                <w:noProof/>
                <w:color w:val="000000"/>
                <w:lang w:val="sq-AL" w:eastAsia="sq-AL"/>
              </w:rPr>
            </w:pPr>
            <w:r w:rsidRPr="003C4532">
              <w:rPr>
                <w:rFonts w:ascii="Times New Roman" w:eastAsia="Times New Roman" w:hAnsi="Times New Roman" w:cs="Times New Roman"/>
                <w:noProof/>
                <w:color w:val="000000"/>
                <w:sz w:val="24"/>
                <w:szCs w:val="24"/>
                <w:lang w:val="sq-AL" w:eastAsia="sq-AL"/>
              </w:rPr>
              <w:t>Kjo peshë është ri-llogaritur për arsye të ndryshme: probabilitetit të pabarabartë të përzgjedhjes, jo-përgjigje, rregullimit të vlerave të popullsisë, vlerësimi i modelit etj. Trajtimi i outlier-ave merret parasysh në procedurat e përgjithësimit të rezultateve.</w:t>
            </w:r>
          </w:p>
        </w:tc>
      </w:tr>
      <w:tr w:rsidR="00BD6D4E" w:rsidRPr="00DE4BE4" w:rsidTr="00BE227D">
        <w:trPr>
          <w:trHeight w:val="9530"/>
        </w:trPr>
        <w:tc>
          <w:tcPr>
            <w:tcW w:w="2453"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18.5. Përpilimi i të dhënave </w:t>
            </w:r>
          </w:p>
        </w:tc>
        <w:tc>
          <w:tcPr>
            <w:tcW w:w="7953" w:type="dxa"/>
            <w:shd w:val="clear" w:color="auto" w:fill="auto"/>
            <w:vAlign w:val="center"/>
          </w:tcPr>
          <w:p w:rsidR="00E618EB" w:rsidRDefault="0098418E" w:rsidP="00B97A3C">
            <w:pPr>
              <w:spacing w:before="240" w:line="240" w:lineRule="auto"/>
              <w:ind w:left="101" w:right="86"/>
              <w:jc w:val="both"/>
              <w:rPr>
                <w:rFonts w:ascii="Times New Roman" w:eastAsia="Times New Roman" w:hAnsi="Times New Roman" w:cs="Times New Roman"/>
                <w:noProof/>
                <w:color w:val="000000"/>
                <w:sz w:val="24"/>
                <w:szCs w:val="24"/>
                <w:lang w:val="sq-AL" w:eastAsia="sq-AL"/>
              </w:rPr>
            </w:pPr>
            <w:r w:rsidRPr="0098418E">
              <w:rPr>
                <w:rFonts w:ascii="Times New Roman" w:eastAsia="Times New Roman" w:hAnsi="Times New Roman" w:cs="Times New Roman"/>
                <w:noProof/>
                <w:color w:val="000000"/>
                <w:sz w:val="24"/>
                <w:szCs w:val="24"/>
                <w:lang w:val="sq-AL" w:eastAsia="sq-AL"/>
              </w:rPr>
              <w:t xml:space="preserve">Për përpilimin e rezultateve kemi </w:t>
            </w:r>
            <w:r w:rsidR="00B97A3C">
              <w:rPr>
                <w:rFonts w:ascii="Times New Roman" w:eastAsia="Times New Roman" w:hAnsi="Times New Roman" w:cs="Times New Roman"/>
                <w:noProof/>
                <w:color w:val="000000"/>
                <w:sz w:val="24"/>
                <w:szCs w:val="24"/>
                <w:lang w:val="sq-AL" w:eastAsia="sq-AL"/>
              </w:rPr>
              <w:t>tre</w:t>
            </w:r>
            <w:r w:rsidRPr="0098418E">
              <w:rPr>
                <w:rFonts w:ascii="Times New Roman" w:eastAsia="Times New Roman" w:hAnsi="Times New Roman" w:cs="Times New Roman"/>
                <w:noProof/>
                <w:color w:val="000000"/>
                <w:sz w:val="24"/>
                <w:szCs w:val="24"/>
                <w:lang w:val="sq-AL" w:eastAsia="sq-AL"/>
              </w:rPr>
              <w:t xml:space="preserve"> procedura bazë: </w:t>
            </w:r>
          </w:p>
          <w:p w:rsidR="00E618EB" w:rsidRPr="00E618EB" w:rsidRDefault="0098418E" w:rsidP="00F30D0D">
            <w:pPr>
              <w:pStyle w:val="ListParagraph"/>
              <w:numPr>
                <w:ilvl w:val="0"/>
                <w:numId w:val="1"/>
              </w:numPr>
              <w:ind w:right="86"/>
              <w:jc w:val="both"/>
              <w:rPr>
                <w:noProof/>
                <w:color w:val="000000"/>
                <w:lang w:val="sq-AL" w:eastAsia="sq-AL"/>
              </w:rPr>
            </w:pPr>
            <w:r w:rsidRPr="00E618EB">
              <w:rPr>
                <w:b/>
                <w:noProof/>
                <w:color w:val="000000"/>
                <w:lang w:val="sq-AL" w:eastAsia="sq-AL"/>
              </w:rPr>
              <w:t>Analiza e cilësisë së të dhënave</w:t>
            </w:r>
            <w:r w:rsidRPr="00E618EB">
              <w:rPr>
                <w:noProof/>
                <w:color w:val="000000"/>
                <w:lang w:val="sq-AL" w:eastAsia="sq-AL"/>
              </w:rPr>
              <w:t xml:space="preserve"> </w:t>
            </w:r>
          </w:p>
          <w:p w:rsidR="00CB3648" w:rsidRPr="00E618EB" w:rsidRDefault="0098418E" w:rsidP="00894D62">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E618EB">
              <w:rPr>
                <w:rFonts w:ascii="Times New Roman" w:eastAsia="Times New Roman" w:hAnsi="Times New Roman" w:cs="Times New Roman"/>
                <w:noProof/>
                <w:color w:val="000000"/>
                <w:sz w:val="24"/>
                <w:szCs w:val="24"/>
                <w:lang w:val="sq-AL" w:eastAsia="sq-AL"/>
              </w:rPr>
              <w:t xml:space="preserve">Për të analizuar cilësinë e të dhënave janë aplikuar disa rregulla: </w:t>
            </w:r>
          </w:p>
          <w:p w:rsidR="00CB3648" w:rsidRPr="00242E64" w:rsidRDefault="0098418E" w:rsidP="00E62B91">
            <w:pPr>
              <w:pStyle w:val="ListParagraph"/>
              <w:numPr>
                <w:ilvl w:val="0"/>
                <w:numId w:val="9"/>
              </w:numPr>
              <w:spacing w:after="240"/>
              <w:ind w:right="86"/>
              <w:jc w:val="both"/>
              <w:rPr>
                <w:noProof/>
                <w:color w:val="000000"/>
                <w:lang w:val="sq-AL" w:eastAsia="sq-AL"/>
              </w:rPr>
            </w:pPr>
            <w:r w:rsidRPr="00242E64">
              <w:rPr>
                <w:noProof/>
                <w:color w:val="000000"/>
                <w:lang w:val="sq-AL" w:eastAsia="sq-AL"/>
              </w:rPr>
              <w:t xml:space="preserve">Kontrolli matematik i anketës - Kontrolli logjik i të dhënave të anketës </w:t>
            </w:r>
          </w:p>
          <w:p w:rsidR="00CB3648" w:rsidRPr="00242E64" w:rsidRDefault="0098418E" w:rsidP="002D4799">
            <w:pPr>
              <w:pStyle w:val="ListParagraph"/>
              <w:numPr>
                <w:ilvl w:val="0"/>
                <w:numId w:val="9"/>
              </w:numPr>
              <w:spacing w:before="240" w:after="240"/>
              <w:ind w:right="86"/>
              <w:jc w:val="both"/>
              <w:rPr>
                <w:noProof/>
                <w:color w:val="000000"/>
                <w:lang w:val="sq-AL" w:eastAsia="sq-AL"/>
              </w:rPr>
            </w:pPr>
            <w:r w:rsidRPr="00242E64">
              <w:rPr>
                <w:noProof/>
                <w:color w:val="000000"/>
                <w:lang w:val="sq-AL" w:eastAsia="sq-AL"/>
              </w:rPr>
              <w:t xml:space="preserve">Krahasimi i të dhënave në seri kohore -Krahasimi i të dhënave me skedarë të tjerë që disponon INSTAT </w:t>
            </w:r>
          </w:p>
          <w:p w:rsidR="00CB3648" w:rsidRPr="00242E64" w:rsidRDefault="0098418E" w:rsidP="002D4799">
            <w:pPr>
              <w:pStyle w:val="ListParagraph"/>
              <w:numPr>
                <w:ilvl w:val="0"/>
                <w:numId w:val="9"/>
              </w:numPr>
              <w:spacing w:before="240" w:after="240"/>
              <w:ind w:right="86"/>
              <w:jc w:val="both"/>
              <w:rPr>
                <w:noProof/>
                <w:color w:val="000000"/>
                <w:lang w:val="sq-AL" w:eastAsia="sq-AL"/>
              </w:rPr>
            </w:pPr>
            <w:r w:rsidRPr="00242E64">
              <w:rPr>
                <w:noProof/>
                <w:color w:val="000000"/>
                <w:lang w:val="sq-AL" w:eastAsia="sq-AL"/>
              </w:rPr>
              <w:t xml:space="preserve">Krahasimi i të dhënave me skedarin e bilanceve . </w:t>
            </w:r>
          </w:p>
          <w:p w:rsidR="00CB3648" w:rsidRPr="00242E64" w:rsidRDefault="0098418E" w:rsidP="002D4799">
            <w:pPr>
              <w:pStyle w:val="ListParagraph"/>
              <w:numPr>
                <w:ilvl w:val="0"/>
                <w:numId w:val="9"/>
              </w:numPr>
              <w:spacing w:before="240" w:after="240"/>
              <w:ind w:right="86"/>
              <w:jc w:val="both"/>
              <w:rPr>
                <w:noProof/>
                <w:color w:val="000000"/>
                <w:lang w:val="sq-AL" w:eastAsia="sq-AL"/>
              </w:rPr>
            </w:pPr>
            <w:r w:rsidRPr="00242E64">
              <w:rPr>
                <w:noProof/>
                <w:color w:val="000000"/>
                <w:lang w:val="sq-AL" w:eastAsia="sq-AL"/>
              </w:rPr>
              <w:t xml:space="preserve">Përcaktimi i kufizimeve për disa raporte, si psh: paga mesatare për të punësuar, marzhet ndaj shitjes neto, etj. </w:t>
            </w:r>
          </w:p>
          <w:p w:rsidR="00E618EB" w:rsidRDefault="0098418E" w:rsidP="002D4799">
            <w:pPr>
              <w:pStyle w:val="ListParagraph"/>
              <w:numPr>
                <w:ilvl w:val="0"/>
                <w:numId w:val="9"/>
              </w:numPr>
              <w:spacing w:before="240" w:after="240"/>
              <w:ind w:right="86"/>
              <w:jc w:val="both"/>
              <w:rPr>
                <w:noProof/>
                <w:color w:val="000000"/>
                <w:lang w:val="sq-AL" w:eastAsia="sq-AL"/>
              </w:rPr>
            </w:pPr>
            <w:r w:rsidRPr="00242E64">
              <w:rPr>
                <w:noProof/>
                <w:color w:val="000000"/>
                <w:lang w:val="sq-AL" w:eastAsia="sq-AL"/>
              </w:rPr>
              <w:t xml:space="preserve">Analiza e shmangieve të mëdha nga mesatarja. </w:t>
            </w:r>
          </w:p>
          <w:p w:rsidR="00242E64" w:rsidRPr="00242E64" w:rsidRDefault="00242E64" w:rsidP="00242E64">
            <w:pPr>
              <w:pStyle w:val="ListParagraph"/>
              <w:spacing w:before="240" w:after="240"/>
              <w:ind w:left="562" w:right="86"/>
              <w:jc w:val="both"/>
              <w:rPr>
                <w:noProof/>
                <w:color w:val="000000"/>
                <w:lang w:val="sq-AL" w:eastAsia="sq-AL"/>
              </w:rPr>
            </w:pPr>
          </w:p>
          <w:p w:rsidR="00E618EB" w:rsidRPr="00E618EB" w:rsidRDefault="0098418E" w:rsidP="00894D62">
            <w:pPr>
              <w:pStyle w:val="ListParagraph"/>
              <w:numPr>
                <w:ilvl w:val="0"/>
                <w:numId w:val="1"/>
              </w:numPr>
              <w:spacing w:before="240"/>
              <w:ind w:right="86"/>
              <w:jc w:val="both"/>
              <w:rPr>
                <w:noProof/>
                <w:color w:val="000000"/>
                <w:lang w:val="sq-AL" w:eastAsia="sq-AL"/>
              </w:rPr>
            </w:pPr>
            <w:r w:rsidRPr="00E618EB">
              <w:rPr>
                <w:b/>
                <w:noProof/>
                <w:color w:val="000000"/>
                <w:lang w:val="sq-AL" w:eastAsia="sq-AL"/>
              </w:rPr>
              <w:t>Trajtimi i mos-përgjigjeve</w:t>
            </w:r>
            <w:r w:rsidRPr="00E618EB">
              <w:rPr>
                <w:noProof/>
                <w:color w:val="000000"/>
                <w:lang w:val="sq-AL" w:eastAsia="sq-AL"/>
              </w:rPr>
              <w:t xml:space="preserve"> </w:t>
            </w:r>
          </w:p>
          <w:p w:rsidR="00626614" w:rsidRPr="00894D62" w:rsidRDefault="0098418E" w:rsidP="00894D62">
            <w:pPr>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894D62">
              <w:rPr>
                <w:rFonts w:ascii="Times New Roman" w:eastAsia="Times New Roman" w:hAnsi="Times New Roman" w:cs="Times New Roman"/>
                <w:noProof/>
                <w:color w:val="000000"/>
                <w:sz w:val="24"/>
                <w:szCs w:val="24"/>
                <w:lang w:val="sq-AL" w:eastAsia="sq-AL"/>
              </w:rPr>
              <w:t xml:space="preserve">Konsiderohen si mos-përgjigje të gjitha rastet: </w:t>
            </w:r>
          </w:p>
          <w:p w:rsidR="00CB3648" w:rsidRPr="00644BCB" w:rsidRDefault="0098418E" w:rsidP="00894D62">
            <w:pPr>
              <w:pStyle w:val="ListParagraph"/>
              <w:numPr>
                <w:ilvl w:val="0"/>
                <w:numId w:val="13"/>
              </w:numPr>
              <w:spacing w:after="240"/>
              <w:ind w:right="86"/>
              <w:jc w:val="both"/>
              <w:rPr>
                <w:noProof/>
                <w:color w:val="000000"/>
                <w:lang w:val="sq-AL" w:eastAsia="sq-AL"/>
              </w:rPr>
            </w:pPr>
            <w:r w:rsidRPr="00644BCB">
              <w:rPr>
                <w:noProof/>
                <w:color w:val="000000"/>
                <w:lang w:val="sq-AL" w:eastAsia="sq-AL"/>
              </w:rPr>
              <w:t xml:space="preserve">Pa kontakt </w:t>
            </w:r>
          </w:p>
          <w:p w:rsidR="00CB3648" w:rsidRPr="00644BCB" w:rsidRDefault="0098418E" w:rsidP="002D4799">
            <w:pPr>
              <w:pStyle w:val="ListParagraph"/>
              <w:numPr>
                <w:ilvl w:val="0"/>
                <w:numId w:val="13"/>
              </w:numPr>
              <w:spacing w:before="240" w:after="240"/>
              <w:ind w:right="86"/>
              <w:jc w:val="both"/>
              <w:rPr>
                <w:noProof/>
                <w:color w:val="000000"/>
                <w:lang w:val="sq-AL" w:eastAsia="sq-AL"/>
              </w:rPr>
            </w:pPr>
            <w:r w:rsidRPr="00644BCB">
              <w:rPr>
                <w:noProof/>
                <w:color w:val="000000"/>
                <w:lang w:val="sq-AL" w:eastAsia="sq-AL"/>
              </w:rPr>
              <w:t xml:space="preserve">Refuzim i plotë </w:t>
            </w:r>
          </w:p>
          <w:p w:rsidR="00666BD0" w:rsidRPr="00644BCB" w:rsidRDefault="0098418E" w:rsidP="002D4799">
            <w:pPr>
              <w:pStyle w:val="ListParagraph"/>
              <w:numPr>
                <w:ilvl w:val="0"/>
                <w:numId w:val="13"/>
              </w:numPr>
              <w:spacing w:before="240" w:after="240"/>
              <w:ind w:right="86"/>
              <w:jc w:val="both"/>
              <w:rPr>
                <w:noProof/>
                <w:color w:val="000000"/>
                <w:lang w:val="sq-AL" w:eastAsia="sq-AL"/>
              </w:rPr>
            </w:pPr>
            <w:r w:rsidRPr="00644BCB">
              <w:rPr>
                <w:noProof/>
                <w:color w:val="000000"/>
                <w:lang w:val="sq-AL" w:eastAsia="sq-AL"/>
              </w:rPr>
              <w:t xml:space="preserve">Refuzime të pjesshme, (për </w:t>
            </w:r>
            <w:r w:rsidR="00687F75" w:rsidRPr="00644BCB">
              <w:rPr>
                <w:noProof/>
                <w:color w:val="000000"/>
                <w:lang w:val="sq-AL" w:eastAsia="sq-AL"/>
              </w:rPr>
              <w:t>tabela apo tregues të veçantë).</w:t>
            </w:r>
          </w:p>
          <w:p w:rsidR="007635BB" w:rsidRDefault="007635BB" w:rsidP="007635BB">
            <w:pPr>
              <w:pStyle w:val="ListParagraph"/>
              <w:spacing w:before="240"/>
              <w:ind w:left="461" w:right="86"/>
              <w:jc w:val="both"/>
              <w:rPr>
                <w:noProof/>
                <w:color w:val="000000"/>
                <w:lang w:val="sq-AL" w:eastAsia="sq-AL"/>
              </w:rPr>
            </w:pPr>
          </w:p>
          <w:p w:rsidR="00626614" w:rsidRPr="007635BB" w:rsidRDefault="0098418E" w:rsidP="007635BB">
            <w:pPr>
              <w:pStyle w:val="ListParagraph"/>
              <w:numPr>
                <w:ilvl w:val="0"/>
                <w:numId w:val="23"/>
              </w:numPr>
              <w:spacing w:before="240"/>
              <w:ind w:right="86"/>
              <w:jc w:val="both"/>
              <w:rPr>
                <w:noProof/>
                <w:color w:val="000000"/>
                <w:lang w:val="sq-AL" w:eastAsia="sq-AL"/>
              </w:rPr>
            </w:pPr>
            <w:r w:rsidRPr="007635BB">
              <w:rPr>
                <w:noProof/>
                <w:color w:val="000000"/>
                <w:lang w:val="sq-AL" w:eastAsia="sq-AL"/>
              </w:rPr>
              <w:t xml:space="preserve">Për trajtimin e mos-përgjigjeve të pjesshme u përdorën disa metoda të drejtpërdrejta ose kombinimi i tyre si: </w:t>
            </w:r>
          </w:p>
          <w:p w:rsidR="00BD6D4E" w:rsidRDefault="0098418E" w:rsidP="00E62B91">
            <w:pPr>
              <w:pStyle w:val="ListParagraph"/>
              <w:numPr>
                <w:ilvl w:val="0"/>
                <w:numId w:val="14"/>
              </w:numPr>
              <w:spacing w:after="240"/>
              <w:ind w:right="86"/>
              <w:jc w:val="both"/>
              <w:rPr>
                <w:noProof/>
                <w:color w:val="000000"/>
                <w:lang w:val="sq-AL" w:eastAsia="sq-AL"/>
              </w:rPr>
            </w:pPr>
            <w:r w:rsidRPr="00644BCB">
              <w:rPr>
                <w:noProof/>
                <w:color w:val="000000"/>
                <w:lang w:val="sq-AL" w:eastAsia="sq-AL"/>
              </w:rPr>
              <w:t>Studimi i serisë kohore të ndërmarrjes dhe degës;</w:t>
            </w:r>
            <w:r w:rsidR="00CB3648" w:rsidRPr="00644BCB">
              <w:rPr>
                <w:noProof/>
                <w:color w:val="000000"/>
                <w:lang w:val="sq-AL" w:eastAsia="sq-AL"/>
              </w:rPr>
              <w:t xml:space="preserve"> </w:t>
            </w:r>
          </w:p>
          <w:p w:rsidR="001B12BB" w:rsidRDefault="001B12BB" w:rsidP="001B12BB">
            <w:pPr>
              <w:pStyle w:val="ListParagraph"/>
              <w:numPr>
                <w:ilvl w:val="0"/>
                <w:numId w:val="14"/>
              </w:numPr>
            </w:pPr>
            <w:r w:rsidRPr="001B12BB">
              <w:t xml:space="preserve">Të </w:t>
            </w:r>
            <w:proofErr w:type="spellStart"/>
            <w:r w:rsidRPr="001B12BB">
              <w:t>dhënat</w:t>
            </w:r>
            <w:proofErr w:type="spellEnd"/>
            <w:r w:rsidRPr="001B12BB">
              <w:t xml:space="preserve"> </w:t>
            </w:r>
            <w:proofErr w:type="spellStart"/>
            <w:r w:rsidRPr="001B12BB">
              <w:t>nga</w:t>
            </w:r>
            <w:proofErr w:type="spellEnd"/>
            <w:r w:rsidRPr="001B12BB">
              <w:t xml:space="preserve"> </w:t>
            </w:r>
            <w:proofErr w:type="spellStart"/>
            <w:r w:rsidRPr="001B12BB">
              <w:t>skedari</w:t>
            </w:r>
            <w:proofErr w:type="spellEnd"/>
            <w:r w:rsidRPr="001B12BB">
              <w:t xml:space="preserve"> i </w:t>
            </w:r>
            <w:proofErr w:type="spellStart"/>
            <w:r w:rsidRPr="001B12BB">
              <w:t>bilanceve</w:t>
            </w:r>
            <w:proofErr w:type="spellEnd"/>
            <w:r w:rsidRPr="001B12BB">
              <w:t xml:space="preserve">; </w:t>
            </w:r>
          </w:p>
          <w:p w:rsidR="001B12BB" w:rsidRPr="00ED76AA" w:rsidRDefault="001B12BB" w:rsidP="001B12BB">
            <w:pPr>
              <w:pStyle w:val="ListParagraph"/>
              <w:numPr>
                <w:ilvl w:val="0"/>
                <w:numId w:val="14"/>
              </w:numPr>
              <w:rPr>
                <w:lang w:val="de-DE"/>
              </w:rPr>
            </w:pPr>
            <w:r w:rsidRPr="00ED76AA">
              <w:rPr>
                <w:lang w:val="de-DE"/>
              </w:rPr>
              <w:t xml:space="preserve"> Skedarët e tjerë që disponohen në INSTAT; </w:t>
            </w:r>
          </w:p>
          <w:p w:rsidR="001B12BB" w:rsidRPr="00ED76AA" w:rsidRDefault="001B12BB" w:rsidP="001B12BB">
            <w:pPr>
              <w:pStyle w:val="ListParagraph"/>
              <w:numPr>
                <w:ilvl w:val="0"/>
                <w:numId w:val="14"/>
              </w:numPr>
              <w:rPr>
                <w:lang w:val="de-DE"/>
              </w:rPr>
            </w:pPr>
            <w:r w:rsidRPr="00ED76AA">
              <w:rPr>
                <w:lang w:val="de-DE"/>
              </w:rPr>
              <w:t>Analizohen dhe përdoren të dhënat mesatare të degës ku bën pjesë ndërmarrja;</w:t>
            </w:r>
          </w:p>
          <w:p w:rsidR="001B12BB" w:rsidRPr="00ED76AA" w:rsidRDefault="001B12BB" w:rsidP="001B12BB">
            <w:pPr>
              <w:pStyle w:val="ListParagraph"/>
              <w:numPr>
                <w:ilvl w:val="0"/>
                <w:numId w:val="14"/>
              </w:numPr>
              <w:rPr>
                <w:lang w:val="de-DE"/>
              </w:rPr>
            </w:pPr>
            <w:r w:rsidRPr="00ED76AA">
              <w:rPr>
                <w:lang w:val="de-DE"/>
              </w:rPr>
              <w:t>Përdoren të dhënat e ndërmarrjeve që kanë kushte të ngjashme;</w:t>
            </w:r>
          </w:p>
          <w:p w:rsidR="001B12BB" w:rsidRPr="00ED76AA" w:rsidRDefault="001B12BB" w:rsidP="001B12BB">
            <w:pPr>
              <w:pStyle w:val="ListParagraph"/>
              <w:numPr>
                <w:ilvl w:val="0"/>
                <w:numId w:val="14"/>
              </w:numPr>
              <w:rPr>
                <w:lang w:val="de-DE"/>
              </w:rPr>
            </w:pPr>
            <w:r w:rsidRPr="00ED76AA">
              <w:rPr>
                <w:lang w:val="de-DE"/>
              </w:rPr>
              <w:t>Përdoret metoda e strukturës mesatare sidomos për shpenzimet;</w:t>
            </w:r>
          </w:p>
          <w:p w:rsidR="007635BB" w:rsidRDefault="007635BB" w:rsidP="007635BB">
            <w:pPr>
              <w:pStyle w:val="ListParagraph"/>
              <w:spacing w:after="240"/>
              <w:ind w:left="461"/>
              <w:rPr>
                <w:lang w:val="de-DE"/>
              </w:rPr>
            </w:pPr>
          </w:p>
          <w:p w:rsidR="00CF71F5" w:rsidRPr="00B80D9A" w:rsidRDefault="00CF71F5" w:rsidP="00CF71F5">
            <w:pPr>
              <w:pStyle w:val="ListParagraph"/>
              <w:numPr>
                <w:ilvl w:val="0"/>
                <w:numId w:val="1"/>
              </w:numPr>
              <w:spacing w:before="240"/>
              <w:ind w:right="86"/>
              <w:jc w:val="both"/>
              <w:rPr>
                <w:b/>
                <w:noProof/>
                <w:color w:val="000000"/>
                <w:lang w:val="sq-AL" w:eastAsia="sq-AL"/>
              </w:rPr>
            </w:pPr>
            <w:bookmarkStart w:id="18" w:name="_GoBack"/>
            <w:bookmarkEnd w:id="18"/>
            <w:r w:rsidRPr="00B80D9A">
              <w:rPr>
                <w:b/>
                <w:noProof/>
                <w:color w:val="000000"/>
                <w:lang w:val="sq-AL" w:eastAsia="sq-AL"/>
              </w:rPr>
              <w:t>Procedura e ri-peshimit</w:t>
            </w:r>
          </w:p>
          <w:p w:rsidR="00324506" w:rsidRPr="00D93D2F" w:rsidRDefault="001B12BB" w:rsidP="009D61C0">
            <w:pPr>
              <w:spacing w:after="0" w:line="240" w:lineRule="auto"/>
              <w:ind w:left="101" w:right="86"/>
              <w:jc w:val="both"/>
              <w:rPr>
                <w:rFonts w:ascii="Times New Roman" w:hAnsi="Times New Roman" w:cs="Times New Roman"/>
                <w:sz w:val="24"/>
                <w:szCs w:val="24"/>
                <w:lang w:val="de-DE"/>
              </w:rPr>
            </w:pPr>
            <w:r w:rsidRPr="00D93D2F">
              <w:rPr>
                <w:rFonts w:ascii="Times New Roman" w:hAnsi="Times New Roman" w:cs="Times New Roman"/>
                <w:sz w:val="24"/>
                <w:szCs w:val="24"/>
                <w:lang w:val="de-DE"/>
              </w:rPr>
              <w:t xml:space="preserve">Për </w:t>
            </w:r>
            <w:r w:rsidRPr="00D93D2F">
              <w:rPr>
                <w:rFonts w:ascii="Times New Roman" w:eastAsia="Times New Roman" w:hAnsi="Times New Roman" w:cs="Times New Roman"/>
                <w:noProof/>
                <w:color w:val="000000"/>
                <w:sz w:val="24"/>
                <w:szCs w:val="24"/>
                <w:lang w:val="sq-AL" w:eastAsia="sq-AL"/>
              </w:rPr>
              <w:t>pjesën</w:t>
            </w:r>
            <w:r w:rsidRPr="00D93D2F">
              <w:rPr>
                <w:rFonts w:ascii="Times New Roman" w:hAnsi="Times New Roman" w:cs="Times New Roman"/>
                <w:sz w:val="24"/>
                <w:szCs w:val="24"/>
                <w:lang w:val="de-DE"/>
              </w:rPr>
              <w:t xml:space="preserve"> e pa trajtuar përdoret metoda e ri-peshimit.</w:t>
            </w:r>
            <w:r w:rsidR="00F83CEF" w:rsidRPr="00D93D2F">
              <w:rPr>
                <w:rFonts w:ascii="Times New Roman" w:hAnsi="Times New Roman" w:cs="Times New Roman"/>
                <w:sz w:val="24"/>
                <w:szCs w:val="24"/>
              </w:rPr>
              <w:t xml:space="preserve"> </w:t>
            </w:r>
          </w:p>
          <w:p w:rsidR="007635BB" w:rsidRPr="007635BB" w:rsidRDefault="00935286" w:rsidP="009D61C0">
            <w:pPr>
              <w:pStyle w:val="ListParagraph"/>
              <w:spacing w:after="240"/>
              <w:ind w:left="101"/>
              <w:jc w:val="both"/>
              <w:rPr>
                <w:lang w:val="de-DE"/>
              </w:rPr>
            </w:pPr>
            <w:r w:rsidRPr="00D93D2F">
              <w:rPr>
                <w:lang w:val="de-DE"/>
              </w:rPr>
              <w:t>Programet në SAS Software, Macro Clan përdoren</w:t>
            </w:r>
            <w:r w:rsidR="00BE227D" w:rsidRPr="00D93D2F">
              <w:rPr>
                <w:lang w:val="de-DE"/>
              </w:rPr>
              <w:t xml:space="preserve"> për</w:t>
            </w:r>
            <w:r w:rsidRPr="00D93D2F">
              <w:rPr>
                <w:lang w:val="de-DE"/>
              </w:rPr>
              <w:t xml:space="preserve"> ripeshim dhe për vlerësimin e të dhënave. </w:t>
            </w:r>
            <w:r w:rsidR="00F83CEF" w:rsidRPr="00D93D2F">
              <w:rPr>
                <w:lang w:val="de-DE"/>
              </w:rPr>
              <w:t>Vlerësimi bëhet sipas metodës tradicionale të Horvitz-Thompson (i njohur edhe si vlerësuesi π), i cili aplikohet që nga faza e dizenjmit të SRS.</w:t>
            </w:r>
            <w:r w:rsidR="00F83CEF" w:rsidRPr="00F83CEF">
              <w:rPr>
                <w:lang w:val="de-DE"/>
              </w:rPr>
              <w:t xml:space="preserve"> </w:t>
            </w:r>
          </w:p>
        </w:tc>
      </w:tr>
      <w:tr w:rsidR="00BD6D4E" w:rsidRPr="00DE4BE4" w:rsidTr="00324506">
        <w:trPr>
          <w:trHeight w:val="562"/>
        </w:trPr>
        <w:tc>
          <w:tcPr>
            <w:tcW w:w="2453"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18.6. Rregullimi</w:t>
            </w:r>
          </w:p>
        </w:tc>
        <w:tc>
          <w:tcPr>
            <w:tcW w:w="7953" w:type="dxa"/>
            <w:shd w:val="clear" w:color="auto" w:fill="auto"/>
            <w:noWrap/>
            <w:vAlign w:val="center"/>
            <w:hideMark/>
          </w:tcPr>
          <w:p w:rsidR="00BD6D4E" w:rsidRPr="00CB3648" w:rsidRDefault="00061756" w:rsidP="00CB364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D76AA">
              <w:rPr>
                <w:rFonts w:ascii="Times New Roman" w:hAnsi="Times New Roman" w:cs="Times New Roman"/>
                <w:sz w:val="24"/>
                <w:szCs w:val="24"/>
                <w:lang w:val="sq-AL"/>
              </w:rPr>
              <w:t xml:space="preserve">Nuk aplikohet. </w:t>
            </w:r>
            <w:r w:rsidR="00CB3648" w:rsidRPr="00ED76AA">
              <w:rPr>
                <w:rFonts w:ascii="Times New Roman" w:hAnsi="Times New Roman" w:cs="Times New Roman"/>
                <w:sz w:val="24"/>
                <w:szCs w:val="24"/>
                <w:lang w:val="sq-AL"/>
              </w:rPr>
              <w:t>Asnjë përshtatje sezonale nuk i bëhet të dhënave të grumbulluara nga ASN.</w:t>
            </w:r>
          </w:p>
        </w:tc>
      </w:tr>
      <w:tr w:rsidR="00BD6D4E" w:rsidRPr="00430D9B" w:rsidTr="00324506">
        <w:trPr>
          <w:trHeight w:val="562"/>
        </w:trPr>
        <w:tc>
          <w:tcPr>
            <w:tcW w:w="2453" w:type="dxa"/>
            <w:shd w:val="clear" w:color="auto" w:fill="FBD4B4" w:themeFill="accent6" w:themeFillTint="66"/>
            <w:vAlign w:val="center"/>
            <w:hideMark/>
          </w:tcPr>
          <w:p w:rsidR="00BD6D4E" w:rsidRPr="00E87B99" w:rsidRDefault="00BD6D4E" w:rsidP="00C16BE2">
            <w:pPr>
              <w:pStyle w:val="Heading1"/>
              <w:spacing w:before="0" w:line="240" w:lineRule="auto"/>
              <w:ind w:left="101" w:right="86"/>
              <w:jc w:val="both"/>
              <w:rPr>
                <w:rFonts w:ascii="Times New Roman" w:eastAsia="Times New Roman" w:hAnsi="Times New Roman" w:cs="Times New Roman"/>
                <w:bCs w:val="0"/>
                <w:noProof/>
                <w:color w:val="000000"/>
                <w:sz w:val="24"/>
                <w:szCs w:val="24"/>
                <w:lang w:val="sq-AL" w:eastAsia="sq-AL"/>
              </w:rPr>
            </w:pPr>
            <w:bookmarkStart w:id="19" w:name="_Toc64358771"/>
            <w:r w:rsidRPr="00807B81">
              <w:rPr>
                <w:rFonts w:ascii="Times New Roman" w:eastAsia="Times New Roman" w:hAnsi="Times New Roman" w:cs="Times New Roman"/>
                <w:noProof/>
                <w:color w:val="000000"/>
                <w:sz w:val="24"/>
                <w:szCs w:val="24"/>
                <w:lang w:val="sq-AL" w:eastAsia="sq-AL"/>
              </w:rPr>
              <w:t>19. Komente</w:t>
            </w:r>
            <w:bookmarkEnd w:id="19"/>
          </w:p>
        </w:tc>
        <w:tc>
          <w:tcPr>
            <w:tcW w:w="7953" w:type="dxa"/>
            <w:shd w:val="clear" w:color="auto" w:fill="auto"/>
            <w:noWrap/>
            <w:vAlign w:val="center"/>
            <w:hideMark/>
          </w:tcPr>
          <w:p w:rsidR="00BD6D4E" w:rsidRPr="00430D9B" w:rsidRDefault="00BD6D4E" w:rsidP="00C16BE2">
            <w:pPr>
              <w:spacing w:after="0"/>
              <w:rPr>
                <w:rFonts w:ascii="Times New Roman" w:eastAsia="Times New Roman" w:hAnsi="Times New Roman" w:cs="Times New Roman"/>
                <w:noProof/>
                <w:color w:val="000000"/>
                <w:sz w:val="24"/>
                <w:szCs w:val="24"/>
                <w:lang w:val="sq-AL" w:eastAsia="sq-AL"/>
              </w:rPr>
            </w:pPr>
          </w:p>
        </w:tc>
      </w:tr>
      <w:tr w:rsidR="00BD6D4E" w:rsidRPr="00430D9B" w:rsidTr="00324506">
        <w:trPr>
          <w:trHeight w:val="562"/>
        </w:trPr>
        <w:tc>
          <w:tcPr>
            <w:tcW w:w="10406" w:type="dxa"/>
            <w:gridSpan w:val="2"/>
            <w:shd w:val="clear" w:color="auto" w:fill="FBD4B4" w:themeFill="accent6" w:themeFillTint="66"/>
            <w:vAlign w:val="center"/>
            <w:hideMark/>
          </w:tcPr>
          <w:p w:rsidR="00BD6D4E" w:rsidRPr="00430D9B" w:rsidRDefault="00BD6D4E" w:rsidP="00807B81">
            <w:pPr>
              <w:pStyle w:val="Heading1"/>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bookmarkStart w:id="20" w:name="_Toc64358772"/>
            <w:r w:rsidRPr="00807B81">
              <w:rPr>
                <w:rFonts w:ascii="Times New Roman" w:eastAsia="Times New Roman" w:hAnsi="Times New Roman" w:cs="Times New Roman"/>
                <w:noProof/>
                <w:color w:val="000000"/>
                <w:sz w:val="24"/>
                <w:szCs w:val="24"/>
                <w:lang w:val="sq-AL" w:eastAsia="sq-AL"/>
              </w:rPr>
              <w:t>Anek</w:t>
            </w:r>
            <w:r w:rsidR="00EF6AD6" w:rsidRPr="00807B81">
              <w:rPr>
                <w:rFonts w:ascii="Times New Roman" w:eastAsia="Times New Roman" w:hAnsi="Times New Roman" w:cs="Times New Roman"/>
                <w:noProof/>
                <w:color w:val="000000"/>
                <w:sz w:val="24"/>
                <w:szCs w:val="24"/>
                <w:lang w:val="sq-AL" w:eastAsia="sq-AL"/>
              </w:rPr>
              <w:t>s</w:t>
            </w:r>
            <w:r w:rsidR="000D0FD4" w:rsidRPr="00807B81">
              <w:rPr>
                <w:rFonts w:ascii="Times New Roman" w:eastAsia="Times New Roman" w:hAnsi="Times New Roman" w:cs="Times New Roman"/>
                <w:noProof/>
                <w:color w:val="000000"/>
                <w:sz w:val="24"/>
                <w:szCs w:val="24"/>
                <w:lang w:val="sq-AL" w:eastAsia="sq-AL"/>
              </w:rPr>
              <w:t xml:space="preserve"> 1</w:t>
            </w:r>
            <w:bookmarkEnd w:id="20"/>
          </w:p>
        </w:tc>
      </w:tr>
      <w:tr w:rsidR="00BD6D4E" w:rsidRPr="00430D9B" w:rsidTr="00324506">
        <w:trPr>
          <w:trHeight w:val="562"/>
        </w:trPr>
        <w:tc>
          <w:tcPr>
            <w:tcW w:w="10406" w:type="dxa"/>
            <w:gridSpan w:val="2"/>
            <w:shd w:val="clear" w:color="auto" w:fill="auto"/>
            <w:vAlign w:val="center"/>
            <w:hideMark/>
          </w:tcPr>
          <w:p w:rsidR="00C75A9A" w:rsidRDefault="00C75A9A" w:rsidP="00C75A9A">
            <w:pPr>
              <w:spacing w:before="240"/>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Më poshtë jepen v</w:t>
            </w:r>
            <w:r w:rsidRPr="00C75A9A">
              <w:rPr>
                <w:rFonts w:ascii="Times New Roman" w:eastAsia="Times New Roman" w:hAnsi="Times New Roman" w:cs="Times New Roman"/>
                <w:noProof/>
                <w:color w:val="000000"/>
                <w:sz w:val="24"/>
                <w:szCs w:val="24"/>
                <w:lang w:val="sq-AL" w:eastAsia="sq-AL"/>
              </w:rPr>
              <w:t>lerësime</w:t>
            </w:r>
            <w:r>
              <w:rPr>
                <w:rFonts w:ascii="Times New Roman" w:eastAsia="Times New Roman" w:hAnsi="Times New Roman" w:cs="Times New Roman"/>
                <w:noProof/>
                <w:color w:val="000000"/>
                <w:sz w:val="24"/>
                <w:szCs w:val="24"/>
                <w:lang w:val="sq-AL" w:eastAsia="sq-AL"/>
              </w:rPr>
              <w:t>t</w:t>
            </w:r>
            <w:r w:rsidRPr="00C75A9A">
              <w:rPr>
                <w:rFonts w:ascii="Times New Roman" w:eastAsia="Times New Roman" w:hAnsi="Times New Roman" w:cs="Times New Roman"/>
                <w:noProof/>
                <w:color w:val="000000"/>
                <w:sz w:val="24"/>
                <w:szCs w:val="24"/>
                <w:lang w:val="sq-AL" w:eastAsia="sq-AL"/>
              </w:rPr>
              <w:t xml:space="preserve"> në nivel </w:t>
            </w:r>
            <w:r>
              <w:rPr>
                <w:rFonts w:ascii="Times New Roman" w:eastAsia="Times New Roman" w:hAnsi="Times New Roman" w:cs="Times New Roman"/>
                <w:noProof/>
                <w:color w:val="000000"/>
                <w:sz w:val="24"/>
                <w:szCs w:val="24"/>
                <w:lang w:val="sq-AL" w:eastAsia="sq-AL"/>
              </w:rPr>
              <w:t>s</w:t>
            </w:r>
            <w:r w:rsidRPr="00C75A9A">
              <w:rPr>
                <w:rFonts w:ascii="Times New Roman" w:eastAsia="Times New Roman" w:hAnsi="Times New Roman" w:cs="Times New Roman"/>
                <w:noProof/>
                <w:color w:val="000000"/>
                <w:sz w:val="24"/>
                <w:szCs w:val="24"/>
                <w:lang w:val="sq-AL" w:eastAsia="sq-AL"/>
              </w:rPr>
              <w:t xml:space="preserve">eksioni </w:t>
            </w:r>
            <w:r>
              <w:rPr>
                <w:rFonts w:ascii="Times New Roman" w:eastAsia="Times New Roman" w:hAnsi="Times New Roman" w:cs="Times New Roman"/>
                <w:noProof/>
                <w:color w:val="000000"/>
                <w:sz w:val="24"/>
                <w:szCs w:val="24"/>
                <w:lang w:val="sq-AL" w:eastAsia="sq-AL"/>
              </w:rPr>
              <w:t xml:space="preserve">dhe </w:t>
            </w:r>
            <w:r w:rsidRPr="00C75A9A">
              <w:rPr>
                <w:rFonts w:ascii="Times New Roman" w:eastAsia="Times New Roman" w:hAnsi="Times New Roman" w:cs="Times New Roman"/>
                <w:noProof/>
                <w:color w:val="000000"/>
                <w:sz w:val="24"/>
                <w:szCs w:val="24"/>
                <w:lang w:val="sq-AL" w:eastAsia="sq-AL"/>
              </w:rPr>
              <w:t>total vendi për treguesit kryesorë: Shitje neto, Të punësuar dhe Numër ndërmarrjesh gjithsej së</w:t>
            </w:r>
            <w:r>
              <w:rPr>
                <w:rFonts w:ascii="Times New Roman" w:eastAsia="Times New Roman" w:hAnsi="Times New Roman" w:cs="Times New Roman"/>
                <w:noProof/>
                <w:color w:val="000000"/>
                <w:sz w:val="24"/>
                <w:szCs w:val="24"/>
                <w:lang w:val="sq-AL" w:eastAsia="sq-AL"/>
              </w:rPr>
              <w:t xml:space="preserve"> </w:t>
            </w:r>
            <w:r w:rsidRPr="00C75A9A">
              <w:rPr>
                <w:rFonts w:ascii="Times New Roman" w:eastAsia="Times New Roman" w:hAnsi="Times New Roman" w:cs="Times New Roman"/>
                <w:noProof/>
                <w:color w:val="000000"/>
                <w:sz w:val="24"/>
                <w:szCs w:val="24"/>
                <w:lang w:val="sq-AL" w:eastAsia="sq-AL"/>
              </w:rPr>
              <w:t>bashku me Koeficientet e Variacionit përkatës.</w:t>
            </w:r>
          </w:p>
          <w:p w:rsidR="00BD6D4E" w:rsidRPr="005A225B" w:rsidRDefault="00306195" w:rsidP="004767F6">
            <w:pPr>
              <w:spacing w:after="0"/>
              <w:rPr>
                <w:rFonts w:ascii="Times New Roman" w:eastAsia="Times New Roman" w:hAnsi="Times New Roman" w:cs="Times New Roman"/>
                <w:b/>
                <w:noProof/>
                <w:color w:val="000000"/>
                <w:sz w:val="24"/>
                <w:szCs w:val="24"/>
                <w:lang w:val="sq-AL" w:eastAsia="sq-AL"/>
              </w:rPr>
            </w:pPr>
            <w:r w:rsidRPr="005A225B">
              <w:rPr>
                <w:rFonts w:ascii="Times New Roman" w:eastAsia="Times New Roman" w:hAnsi="Times New Roman" w:cs="Times New Roman"/>
                <w:b/>
                <w:noProof/>
                <w:color w:val="000000"/>
                <w:sz w:val="24"/>
                <w:szCs w:val="24"/>
                <w:lang w:val="sq-AL" w:eastAsia="sq-AL"/>
              </w:rPr>
              <w:t>Tabela 1</w:t>
            </w:r>
          </w:p>
          <w:tbl>
            <w:tblPr>
              <w:tblW w:w="10238" w:type="dxa"/>
              <w:tblLayout w:type="fixed"/>
              <w:tblLook w:val="04A0" w:firstRow="1" w:lastRow="0" w:firstColumn="1" w:lastColumn="0" w:noHBand="0" w:noVBand="1"/>
            </w:tblPr>
            <w:tblGrid>
              <w:gridCol w:w="1168"/>
              <w:gridCol w:w="1896"/>
              <w:gridCol w:w="1909"/>
              <w:gridCol w:w="1944"/>
              <w:gridCol w:w="1832"/>
              <w:gridCol w:w="1489"/>
            </w:tblGrid>
            <w:tr w:rsidR="004767F6" w:rsidRPr="00DE4BE4" w:rsidTr="00883F53">
              <w:trPr>
                <w:trHeight w:val="113"/>
              </w:trPr>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Seksioni</w:t>
                  </w:r>
                </w:p>
              </w:tc>
              <w:tc>
                <w:tcPr>
                  <w:tcW w:w="1896" w:type="dxa"/>
                  <w:vMerge w:val="restart"/>
                  <w:tcBorders>
                    <w:top w:val="single" w:sz="4" w:space="0" w:color="auto"/>
                    <w:left w:val="nil"/>
                    <w:bottom w:val="single" w:sz="4" w:space="0" w:color="auto"/>
                    <w:right w:val="nil"/>
                  </w:tcBorders>
                  <w:shd w:val="clear" w:color="auto" w:fill="auto"/>
                  <w:noWrap/>
                  <w:vAlign w:val="bottom"/>
                  <w:hideMark/>
                </w:tcPr>
                <w:p w:rsidR="004767F6" w:rsidRPr="00ED76AA" w:rsidRDefault="004767F6" w:rsidP="004767F6">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 xml:space="preserve"> Shitjet Neto </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Devijimi Standard </w:t>
                  </w:r>
                </w:p>
              </w:tc>
              <w:tc>
                <w:tcPr>
                  <w:tcW w:w="3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Intervali i Besimit 95%</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Koeficienti i Variacionit </w:t>
                  </w:r>
                  <w:r w:rsidR="009A24B3">
                    <w:rPr>
                      <w:rFonts w:ascii="MS Sans Serif" w:eastAsia="Times New Roman" w:hAnsi="MS Sans Serif" w:cs="Times New Roman"/>
                      <w:sz w:val="20"/>
                      <w:szCs w:val="20"/>
                      <w:lang w:val="sq-AL"/>
                    </w:rPr>
                    <w:t>(%)</w:t>
                  </w:r>
                </w:p>
              </w:tc>
            </w:tr>
            <w:tr w:rsidR="00883F53" w:rsidRPr="00DE4BE4" w:rsidTr="00883F53">
              <w:trPr>
                <w:trHeight w:val="113"/>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p>
              </w:tc>
              <w:tc>
                <w:tcPr>
                  <w:tcW w:w="1896" w:type="dxa"/>
                  <w:vMerge/>
                  <w:tcBorders>
                    <w:top w:val="single" w:sz="4" w:space="0" w:color="auto"/>
                    <w:left w:val="nil"/>
                    <w:bottom w:val="single" w:sz="4" w:space="0" w:color="auto"/>
                    <w:right w:val="nil"/>
                  </w:tcBorders>
                  <w:vAlign w:val="center"/>
                  <w:hideMark/>
                </w:tcPr>
                <w:p w:rsidR="004767F6" w:rsidRPr="00ED76AA" w:rsidRDefault="004767F6" w:rsidP="004767F6">
                  <w:pPr>
                    <w:spacing w:after="0" w:line="240" w:lineRule="auto"/>
                    <w:rPr>
                      <w:rFonts w:ascii="MS Sans Serif" w:eastAsia="Times New Roman" w:hAnsi="MS Sans Serif" w:cs="Times New Roman"/>
                      <w:b/>
                      <w:bCs/>
                      <w:sz w:val="20"/>
                      <w:szCs w:val="20"/>
                      <w:lang w:val="sq-AL"/>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p>
              </w:tc>
              <w:tc>
                <w:tcPr>
                  <w:tcW w:w="1944" w:type="dxa"/>
                  <w:tcBorders>
                    <w:top w:val="nil"/>
                    <w:left w:val="nil"/>
                    <w:bottom w:val="single" w:sz="4" w:space="0" w:color="auto"/>
                    <w:right w:val="nil"/>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Limiti i poshtem </w:t>
                  </w:r>
                </w:p>
              </w:tc>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Limiti i Sipërm </w:t>
                  </w: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B</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81,830,544</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444,406</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80,959,508</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82,701,581</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0.5</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C</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263,549,591</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997,775</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261,593,952</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265,505,229</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0.4</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lastRenderedPageBreak/>
                    <w:t>D</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123,346,690</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628,235</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122,115,349</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124,578,031</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0.5</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E</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25,710,775</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169,949</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25,377,675</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26,043,876</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0.7</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F</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248,991,777</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2,559,786</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243,974,596</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254,008,958</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G</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1,044,951,022</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7,988,624</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1,029,293,319</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1,060,608,725</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0.8</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H</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70,765,958</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703,884</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69,386,344</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72,145,571</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I</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70,148,777</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1,113,740</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67,965,846</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72,331,707</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1.6</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J</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90,822,484</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1,245,196</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88,381,901</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93,263,068</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1.4</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L</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8,760,830</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481,388</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7,817,309</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9,704,350</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5.5</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M</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88,914,029</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1,513,516</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85,947,537</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91,880,521</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1.7</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N</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86,182,220</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1,407,414</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83,423,689</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88,940,752</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1.6</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P</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12,748,860</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460,057</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11,847,147</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13,650,572</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3.6</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Q</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26,296,471</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666,082</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24,990,951</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27,601,992</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2.5</w:t>
                  </w:r>
                </w:p>
              </w:tc>
            </w:tr>
            <w:tr w:rsidR="00883F53" w:rsidRPr="00DE4BE4" w:rsidTr="00883F53">
              <w:trPr>
                <w:trHeight w:val="113"/>
              </w:trPr>
              <w:tc>
                <w:tcPr>
                  <w:tcW w:w="1168"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R</w:t>
                  </w:r>
                </w:p>
              </w:tc>
              <w:tc>
                <w:tcPr>
                  <w:tcW w:w="1896"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8,771,892</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176,388</w:t>
                  </w:r>
                </w:p>
              </w:tc>
              <w:tc>
                <w:tcPr>
                  <w:tcW w:w="1944"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8,426,171</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9,117,614</w:t>
                  </w:r>
                </w:p>
              </w:tc>
              <w:tc>
                <w:tcPr>
                  <w:tcW w:w="1489"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2.0</w:t>
                  </w:r>
                </w:p>
              </w:tc>
            </w:tr>
            <w:tr w:rsidR="00883F53" w:rsidRPr="00DE4BE4" w:rsidTr="00883F53">
              <w:trPr>
                <w:trHeight w:val="113"/>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S</w:t>
                  </w:r>
                </w:p>
              </w:tc>
              <w:tc>
                <w:tcPr>
                  <w:tcW w:w="1896" w:type="dxa"/>
                  <w:tcBorders>
                    <w:top w:val="nil"/>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11,960,432</w:t>
                  </w:r>
                </w:p>
              </w:tc>
              <w:tc>
                <w:tcPr>
                  <w:tcW w:w="190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400,303</w:t>
                  </w:r>
                </w:p>
              </w:tc>
              <w:tc>
                <w:tcPr>
                  <w:tcW w:w="1944"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11,175,838</w:t>
                  </w:r>
                </w:p>
              </w:tc>
              <w:tc>
                <w:tcPr>
                  <w:tcW w:w="1832"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12,745,027</w:t>
                  </w: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3.3</w:t>
                  </w:r>
                </w:p>
              </w:tc>
            </w:tr>
            <w:tr w:rsidR="00883F53" w:rsidRPr="00DE4BE4" w:rsidTr="0024745D">
              <w:trPr>
                <w:trHeight w:val="323"/>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Gjithsej</w:t>
                  </w:r>
                </w:p>
              </w:tc>
              <w:tc>
                <w:tcPr>
                  <w:tcW w:w="1896" w:type="dxa"/>
                  <w:tcBorders>
                    <w:top w:val="nil"/>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2,263,752,352</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8,865,934</w:t>
                  </w:r>
                </w:p>
              </w:tc>
              <w:tc>
                <w:tcPr>
                  <w:tcW w:w="1944" w:type="dxa"/>
                  <w:tcBorders>
                    <w:top w:val="nil"/>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2,246,375,121</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2,281,129,582</w:t>
                  </w:r>
                </w:p>
              </w:tc>
              <w:tc>
                <w:tcPr>
                  <w:tcW w:w="1489" w:type="dxa"/>
                  <w:tcBorders>
                    <w:top w:val="nil"/>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0.4</w:t>
                  </w:r>
                </w:p>
              </w:tc>
            </w:tr>
          </w:tbl>
          <w:p w:rsidR="00C16BE2" w:rsidRDefault="00C16BE2" w:rsidP="004767F6">
            <w:pPr>
              <w:spacing w:after="0"/>
              <w:rPr>
                <w:rFonts w:ascii="Times New Roman" w:eastAsia="Times New Roman" w:hAnsi="Times New Roman" w:cs="Times New Roman"/>
                <w:b/>
                <w:noProof/>
                <w:color w:val="000000"/>
                <w:sz w:val="20"/>
                <w:szCs w:val="20"/>
                <w:lang w:val="sq-AL" w:eastAsia="sq-AL"/>
              </w:rPr>
            </w:pPr>
          </w:p>
          <w:p w:rsidR="004767F6" w:rsidRPr="005A225B" w:rsidRDefault="004767F6" w:rsidP="004767F6">
            <w:pPr>
              <w:spacing w:after="0"/>
              <w:rPr>
                <w:rFonts w:ascii="Times New Roman" w:eastAsia="Times New Roman" w:hAnsi="Times New Roman" w:cs="Times New Roman"/>
                <w:b/>
                <w:noProof/>
                <w:color w:val="000000"/>
                <w:sz w:val="24"/>
                <w:szCs w:val="24"/>
                <w:lang w:val="sq-AL" w:eastAsia="sq-AL"/>
              </w:rPr>
            </w:pPr>
            <w:r w:rsidRPr="005A225B">
              <w:rPr>
                <w:rFonts w:ascii="Times New Roman" w:eastAsia="Times New Roman" w:hAnsi="Times New Roman" w:cs="Times New Roman"/>
                <w:b/>
                <w:noProof/>
                <w:color w:val="000000"/>
                <w:sz w:val="24"/>
                <w:szCs w:val="24"/>
                <w:lang w:val="sq-AL" w:eastAsia="sq-AL"/>
              </w:rPr>
              <w:t>Tabela 2</w:t>
            </w:r>
          </w:p>
          <w:tbl>
            <w:tblPr>
              <w:tblW w:w="10214" w:type="dxa"/>
              <w:tblLayout w:type="fixed"/>
              <w:tblLook w:val="04A0" w:firstRow="1" w:lastRow="0" w:firstColumn="1" w:lastColumn="0" w:noHBand="0" w:noVBand="1"/>
            </w:tblPr>
            <w:tblGrid>
              <w:gridCol w:w="1270"/>
              <w:gridCol w:w="1781"/>
              <w:gridCol w:w="1919"/>
              <w:gridCol w:w="1942"/>
              <w:gridCol w:w="1830"/>
              <w:gridCol w:w="1472"/>
            </w:tblGrid>
            <w:tr w:rsidR="004767F6" w:rsidRPr="00DE4BE4" w:rsidTr="00883F53">
              <w:trPr>
                <w:trHeight w:val="262"/>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Seksioni</w:t>
                  </w:r>
                </w:p>
              </w:tc>
              <w:tc>
                <w:tcPr>
                  <w:tcW w:w="1781" w:type="dxa"/>
                  <w:vMerge w:val="restart"/>
                  <w:tcBorders>
                    <w:top w:val="single" w:sz="4" w:space="0" w:color="auto"/>
                    <w:left w:val="nil"/>
                    <w:bottom w:val="single" w:sz="4" w:space="0" w:color="auto"/>
                    <w:right w:val="nil"/>
                  </w:tcBorders>
                  <w:shd w:val="clear" w:color="auto" w:fill="auto"/>
                  <w:noWrap/>
                  <w:vAlign w:val="bottom"/>
                  <w:hideMark/>
                </w:tcPr>
                <w:p w:rsidR="004767F6" w:rsidRPr="00ED76AA" w:rsidRDefault="004767F6" w:rsidP="004767F6">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 xml:space="preserve"> Të Punësuarit </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Devijimi Standard </w:t>
                  </w:r>
                </w:p>
              </w:tc>
              <w:tc>
                <w:tcPr>
                  <w:tcW w:w="37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Intervali i Besimit 95%</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67F6" w:rsidRPr="00ED76AA" w:rsidRDefault="004767F6" w:rsidP="004767F6">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Koeficienti i Variacionit</w:t>
                  </w:r>
                  <w:r w:rsidR="009A24B3">
                    <w:rPr>
                      <w:rFonts w:ascii="MS Sans Serif" w:eastAsia="Times New Roman" w:hAnsi="MS Sans Serif" w:cs="Times New Roman"/>
                      <w:sz w:val="20"/>
                      <w:szCs w:val="20"/>
                      <w:lang w:val="sq-AL"/>
                    </w:rPr>
                    <w:t xml:space="preserve"> (%)</w:t>
                  </w:r>
                  <w:r w:rsidRPr="00ED76AA">
                    <w:rPr>
                      <w:rFonts w:ascii="MS Sans Serif" w:eastAsia="Times New Roman" w:hAnsi="MS Sans Serif" w:cs="Times New Roman"/>
                      <w:sz w:val="20"/>
                      <w:szCs w:val="20"/>
                      <w:lang w:val="sq-AL"/>
                    </w:rPr>
                    <w:t xml:space="preserve"> </w:t>
                  </w:r>
                </w:p>
              </w:tc>
            </w:tr>
            <w:tr w:rsidR="004767F6" w:rsidRPr="00DE4BE4" w:rsidTr="00883F53">
              <w:trPr>
                <w:trHeight w:val="262"/>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p>
              </w:tc>
              <w:tc>
                <w:tcPr>
                  <w:tcW w:w="1781" w:type="dxa"/>
                  <w:vMerge/>
                  <w:tcBorders>
                    <w:top w:val="single" w:sz="4" w:space="0" w:color="auto"/>
                    <w:left w:val="nil"/>
                    <w:bottom w:val="single" w:sz="4" w:space="0" w:color="auto"/>
                    <w:right w:val="nil"/>
                  </w:tcBorders>
                  <w:vAlign w:val="center"/>
                  <w:hideMark/>
                </w:tcPr>
                <w:p w:rsidR="004767F6" w:rsidRPr="00ED76AA" w:rsidRDefault="004767F6" w:rsidP="004767F6">
                  <w:pPr>
                    <w:spacing w:after="0" w:line="240" w:lineRule="auto"/>
                    <w:rPr>
                      <w:rFonts w:ascii="MS Sans Serif" w:eastAsia="Times New Roman" w:hAnsi="MS Sans Serif" w:cs="Times New Roman"/>
                      <w:b/>
                      <w:bCs/>
                      <w:sz w:val="20"/>
                      <w:szCs w:val="20"/>
                      <w:lang w:val="sq-AL"/>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p>
              </w:tc>
              <w:tc>
                <w:tcPr>
                  <w:tcW w:w="1942" w:type="dxa"/>
                  <w:tcBorders>
                    <w:top w:val="nil"/>
                    <w:left w:val="nil"/>
                    <w:bottom w:val="single" w:sz="4" w:space="0" w:color="auto"/>
                    <w:right w:val="nil"/>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Limiti i poshtem </w:t>
                  </w:r>
                </w:p>
              </w:tc>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 xml:space="preserve"> Limiti i Sipërm </w:t>
                  </w: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B</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11,318</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62</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11,198</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11,439</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0.5</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C</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110,109</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636</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108,862</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111,356</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0.6</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D</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10,431</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47</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10,338</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10,524</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0.5</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E</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12,522</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59</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12,407</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12,638</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0.5</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F</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47,224</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564</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46,120</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48,329</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G</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131,033</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1,501</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128,092</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133,975</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H</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20,582</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166</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20,257</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20,906</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0.8</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I</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59,104</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817</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57,502</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60,706</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1.4</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J</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17,535</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596</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16,367</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18,702</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3.4</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L</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2,562</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90</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2,386</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2,739</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3.5</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M</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23,033</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529</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21,997</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24,069</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2.3</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N</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45,692</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301</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45,102</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46,281</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0.7</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P</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9,918</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212</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9,503</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10,334</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2.1</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4767F6">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Q</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11,830</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205</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11,429</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12,232</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1.7</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R</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5,313</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213</w:t>
                  </w:r>
                </w:p>
              </w:tc>
              <w:tc>
                <w:tcPr>
                  <w:tcW w:w="194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4,895</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5,731</w:t>
                  </w:r>
                </w:p>
              </w:tc>
              <w:tc>
                <w:tcPr>
                  <w:tcW w:w="1472"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4.0</w:t>
                  </w:r>
                </w:p>
              </w:tc>
            </w:tr>
            <w:tr w:rsidR="004767F6" w:rsidRPr="00DE4BE4" w:rsidTr="00883F53">
              <w:trPr>
                <w:trHeight w:val="262"/>
              </w:trPr>
              <w:tc>
                <w:tcPr>
                  <w:tcW w:w="1270" w:type="dxa"/>
                  <w:tcBorders>
                    <w:top w:val="nil"/>
                    <w:left w:val="single" w:sz="4" w:space="0" w:color="auto"/>
                    <w:bottom w:val="nil"/>
                    <w:right w:val="single" w:sz="4" w:space="0" w:color="auto"/>
                  </w:tcBorders>
                  <w:shd w:val="clear" w:color="auto" w:fill="auto"/>
                  <w:noWrap/>
                  <w:vAlign w:val="bottom"/>
                  <w:hideMark/>
                </w:tcPr>
                <w:p w:rsidR="004767F6" w:rsidRPr="00ED76AA" w:rsidRDefault="004767F6" w:rsidP="00883F53">
                  <w:pPr>
                    <w:spacing w:after="0" w:line="240" w:lineRule="auto"/>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S</w:t>
                  </w:r>
                </w:p>
              </w:tc>
              <w:tc>
                <w:tcPr>
                  <w:tcW w:w="1781" w:type="dxa"/>
                  <w:tcBorders>
                    <w:top w:val="nil"/>
                    <w:left w:val="nil"/>
                    <w:bottom w:val="nil"/>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12,650</w:t>
                  </w:r>
                </w:p>
              </w:tc>
              <w:tc>
                <w:tcPr>
                  <w:tcW w:w="1919"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245</w:t>
                  </w:r>
                </w:p>
              </w:tc>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12,170</w:t>
                  </w:r>
                </w:p>
              </w:tc>
              <w:tc>
                <w:tcPr>
                  <w:tcW w:w="1830" w:type="dxa"/>
                  <w:tcBorders>
                    <w:top w:val="nil"/>
                    <w:left w:val="nil"/>
                    <w:bottom w:val="nil"/>
                    <w:right w:val="nil"/>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13,130</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sz w:val="20"/>
                      <w:szCs w:val="20"/>
                      <w:lang w:val="sq-AL"/>
                    </w:rPr>
                  </w:pPr>
                  <w:r w:rsidRPr="00ED76AA">
                    <w:rPr>
                      <w:rFonts w:ascii="MS Sans Serif" w:eastAsia="Times New Roman" w:hAnsi="MS Sans Serif" w:cs="Times New Roman"/>
                      <w:sz w:val="20"/>
                      <w:szCs w:val="20"/>
                      <w:lang w:val="sq-AL"/>
                    </w:rPr>
                    <w:t>1.9</w:t>
                  </w:r>
                </w:p>
              </w:tc>
            </w:tr>
            <w:tr w:rsidR="004767F6" w:rsidRPr="00DE4BE4" w:rsidTr="00C16BE2">
              <w:trPr>
                <w:trHeight w:val="332"/>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Gjithsej</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4767F6" w:rsidRPr="00ED76AA" w:rsidRDefault="004767F6" w:rsidP="009D61C0">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530,85</w:t>
                  </w:r>
                  <w:r w:rsidR="009D61C0">
                    <w:rPr>
                      <w:rFonts w:ascii="MS Sans Serif" w:eastAsia="Times New Roman" w:hAnsi="MS Sans Serif" w:cs="Times New Roman"/>
                      <w:b/>
                      <w:bCs/>
                      <w:sz w:val="20"/>
                      <w:szCs w:val="20"/>
                      <w:lang w:val="sq-AL"/>
                    </w:rPr>
                    <w:t>3</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1,940</w:t>
                  </w:r>
                </w:p>
              </w:tc>
              <w:tc>
                <w:tcPr>
                  <w:tcW w:w="1942" w:type="dxa"/>
                  <w:tcBorders>
                    <w:top w:val="nil"/>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527,054</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534,659</w:t>
                  </w:r>
                </w:p>
              </w:tc>
              <w:tc>
                <w:tcPr>
                  <w:tcW w:w="1472" w:type="dxa"/>
                  <w:tcBorders>
                    <w:top w:val="nil"/>
                    <w:left w:val="nil"/>
                    <w:bottom w:val="single" w:sz="4" w:space="0" w:color="auto"/>
                    <w:right w:val="single" w:sz="4" w:space="0" w:color="auto"/>
                  </w:tcBorders>
                  <w:shd w:val="clear" w:color="auto" w:fill="auto"/>
                  <w:noWrap/>
                  <w:vAlign w:val="bottom"/>
                  <w:hideMark/>
                </w:tcPr>
                <w:p w:rsidR="004767F6" w:rsidRPr="00ED76AA" w:rsidRDefault="004767F6" w:rsidP="00883F53">
                  <w:pPr>
                    <w:spacing w:after="0" w:line="240" w:lineRule="auto"/>
                    <w:jc w:val="center"/>
                    <w:rPr>
                      <w:rFonts w:ascii="MS Sans Serif" w:eastAsia="Times New Roman" w:hAnsi="MS Sans Serif" w:cs="Times New Roman"/>
                      <w:b/>
                      <w:bCs/>
                      <w:sz w:val="20"/>
                      <w:szCs w:val="20"/>
                      <w:lang w:val="sq-AL"/>
                    </w:rPr>
                  </w:pPr>
                  <w:r w:rsidRPr="00ED76AA">
                    <w:rPr>
                      <w:rFonts w:ascii="MS Sans Serif" w:eastAsia="Times New Roman" w:hAnsi="MS Sans Serif" w:cs="Times New Roman"/>
                      <w:b/>
                      <w:bCs/>
                      <w:sz w:val="20"/>
                      <w:szCs w:val="20"/>
                      <w:lang w:val="sq-AL"/>
                    </w:rPr>
                    <w:t>0.4</w:t>
                  </w:r>
                </w:p>
              </w:tc>
            </w:tr>
          </w:tbl>
          <w:p w:rsidR="004767F6" w:rsidRPr="005A225B" w:rsidRDefault="004767F6" w:rsidP="00C16BE2">
            <w:pPr>
              <w:spacing w:before="240" w:after="0"/>
              <w:rPr>
                <w:rFonts w:ascii="Times New Roman" w:eastAsia="Times New Roman" w:hAnsi="Times New Roman" w:cs="Times New Roman"/>
                <w:b/>
                <w:noProof/>
                <w:color w:val="000000"/>
                <w:sz w:val="24"/>
                <w:szCs w:val="24"/>
                <w:lang w:val="sq-AL" w:eastAsia="sq-AL"/>
              </w:rPr>
            </w:pPr>
            <w:r w:rsidRPr="005A225B">
              <w:rPr>
                <w:rFonts w:ascii="Times New Roman" w:eastAsia="Times New Roman" w:hAnsi="Times New Roman" w:cs="Times New Roman"/>
                <w:b/>
                <w:noProof/>
                <w:color w:val="000000"/>
                <w:sz w:val="24"/>
                <w:szCs w:val="24"/>
                <w:lang w:val="sq-AL" w:eastAsia="sq-AL"/>
              </w:rPr>
              <w:t>Tabela 3</w:t>
            </w:r>
          </w:p>
          <w:tbl>
            <w:tblPr>
              <w:tblW w:w="10215" w:type="dxa"/>
              <w:tblLayout w:type="fixed"/>
              <w:tblLook w:val="04A0" w:firstRow="1" w:lastRow="0" w:firstColumn="1" w:lastColumn="0" w:noHBand="0" w:noVBand="1"/>
            </w:tblPr>
            <w:tblGrid>
              <w:gridCol w:w="1272"/>
              <w:gridCol w:w="1809"/>
              <w:gridCol w:w="1916"/>
              <w:gridCol w:w="1879"/>
              <w:gridCol w:w="1864"/>
              <w:gridCol w:w="1475"/>
            </w:tblGrid>
            <w:tr w:rsidR="004767F6" w:rsidRPr="004767F6" w:rsidTr="00883F53">
              <w:trPr>
                <w:trHeight w:val="223"/>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67F6" w:rsidRPr="004767F6" w:rsidRDefault="004767F6" w:rsidP="004767F6">
                  <w:pPr>
                    <w:spacing w:after="0" w:line="240" w:lineRule="auto"/>
                    <w:jc w:val="center"/>
                    <w:rPr>
                      <w:rFonts w:ascii="MS Sans Serif" w:eastAsia="Times New Roman" w:hAnsi="MS Sans Serif" w:cs="Times New Roman"/>
                      <w:sz w:val="20"/>
                      <w:szCs w:val="20"/>
                    </w:rPr>
                  </w:pPr>
                  <w:proofErr w:type="spellStart"/>
                  <w:r w:rsidRPr="004767F6">
                    <w:rPr>
                      <w:rFonts w:ascii="MS Sans Serif" w:eastAsia="Times New Roman" w:hAnsi="MS Sans Serif" w:cs="Times New Roman"/>
                      <w:sz w:val="20"/>
                      <w:szCs w:val="20"/>
                    </w:rPr>
                    <w:t>Seksioni</w:t>
                  </w:r>
                  <w:proofErr w:type="spellEnd"/>
                </w:p>
              </w:tc>
              <w:tc>
                <w:tcPr>
                  <w:tcW w:w="1809" w:type="dxa"/>
                  <w:vMerge w:val="restart"/>
                  <w:tcBorders>
                    <w:top w:val="single" w:sz="4" w:space="0" w:color="auto"/>
                    <w:left w:val="nil"/>
                    <w:bottom w:val="single" w:sz="4" w:space="0" w:color="auto"/>
                    <w:right w:val="nil"/>
                  </w:tcBorders>
                  <w:shd w:val="clear" w:color="auto" w:fill="auto"/>
                  <w:noWrap/>
                  <w:vAlign w:val="bottom"/>
                  <w:hideMark/>
                </w:tcPr>
                <w:p w:rsidR="004767F6" w:rsidRPr="004767F6" w:rsidRDefault="004767F6" w:rsidP="004767F6">
                  <w:pPr>
                    <w:spacing w:after="0" w:line="240" w:lineRule="auto"/>
                    <w:jc w:val="center"/>
                    <w:rPr>
                      <w:rFonts w:ascii="MS Sans Serif" w:eastAsia="Times New Roman" w:hAnsi="MS Sans Serif" w:cs="Times New Roman"/>
                      <w:b/>
                      <w:bCs/>
                      <w:sz w:val="20"/>
                      <w:szCs w:val="20"/>
                    </w:rPr>
                  </w:pPr>
                  <w:r w:rsidRPr="004767F6">
                    <w:rPr>
                      <w:rFonts w:ascii="MS Sans Serif" w:eastAsia="Times New Roman" w:hAnsi="MS Sans Serif" w:cs="Times New Roman"/>
                      <w:b/>
                      <w:bCs/>
                      <w:sz w:val="20"/>
                      <w:szCs w:val="20"/>
                    </w:rPr>
                    <w:t xml:space="preserve"> </w:t>
                  </w:r>
                  <w:proofErr w:type="spellStart"/>
                  <w:r w:rsidRPr="004767F6">
                    <w:rPr>
                      <w:rFonts w:ascii="MS Sans Serif" w:eastAsia="Times New Roman" w:hAnsi="MS Sans Serif" w:cs="Times New Roman"/>
                      <w:b/>
                      <w:bCs/>
                      <w:sz w:val="20"/>
                      <w:szCs w:val="20"/>
                    </w:rPr>
                    <w:t>Ngjithsej</w:t>
                  </w:r>
                  <w:proofErr w:type="spellEnd"/>
                  <w:r w:rsidRPr="004767F6">
                    <w:rPr>
                      <w:rFonts w:ascii="MS Sans Serif" w:eastAsia="Times New Roman" w:hAnsi="MS Sans Serif" w:cs="Times New Roman"/>
                      <w:b/>
                      <w:bCs/>
                      <w:sz w:val="20"/>
                      <w:szCs w:val="20"/>
                    </w:rPr>
                    <w:t xml:space="preserve"> </w:t>
                  </w:r>
                </w:p>
              </w:tc>
              <w:tc>
                <w:tcPr>
                  <w:tcW w:w="19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7F6" w:rsidRPr="004767F6" w:rsidRDefault="004767F6" w:rsidP="004767F6">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 xml:space="preserve"> </w:t>
                  </w:r>
                  <w:proofErr w:type="spellStart"/>
                  <w:r w:rsidRPr="004767F6">
                    <w:rPr>
                      <w:rFonts w:ascii="MS Sans Serif" w:eastAsia="Times New Roman" w:hAnsi="MS Sans Serif" w:cs="Times New Roman"/>
                      <w:sz w:val="20"/>
                      <w:szCs w:val="20"/>
                    </w:rPr>
                    <w:t>Devijimi</w:t>
                  </w:r>
                  <w:proofErr w:type="spellEnd"/>
                  <w:r w:rsidRPr="004767F6">
                    <w:rPr>
                      <w:rFonts w:ascii="MS Sans Serif" w:eastAsia="Times New Roman" w:hAnsi="MS Sans Serif" w:cs="Times New Roman"/>
                      <w:sz w:val="20"/>
                      <w:szCs w:val="20"/>
                    </w:rPr>
                    <w:t xml:space="preserve"> Standard </w:t>
                  </w:r>
                </w:p>
              </w:tc>
              <w:tc>
                <w:tcPr>
                  <w:tcW w:w="3743" w:type="dxa"/>
                  <w:gridSpan w:val="2"/>
                  <w:tcBorders>
                    <w:top w:val="single" w:sz="4" w:space="0" w:color="auto"/>
                    <w:left w:val="nil"/>
                    <w:bottom w:val="single" w:sz="4" w:space="0" w:color="auto"/>
                    <w:right w:val="single" w:sz="4" w:space="0" w:color="auto"/>
                  </w:tcBorders>
                  <w:shd w:val="clear" w:color="auto" w:fill="auto"/>
                  <w:noWrap/>
                  <w:vAlign w:val="bottom"/>
                  <w:hideMark/>
                </w:tcPr>
                <w:p w:rsidR="004767F6" w:rsidRPr="004767F6" w:rsidRDefault="004767F6" w:rsidP="004767F6">
                  <w:pPr>
                    <w:spacing w:after="0" w:line="240" w:lineRule="auto"/>
                    <w:jc w:val="center"/>
                    <w:rPr>
                      <w:rFonts w:ascii="MS Sans Serif" w:eastAsia="Times New Roman" w:hAnsi="MS Sans Serif" w:cs="Times New Roman"/>
                      <w:sz w:val="20"/>
                      <w:szCs w:val="20"/>
                    </w:rPr>
                  </w:pPr>
                  <w:proofErr w:type="spellStart"/>
                  <w:r w:rsidRPr="004767F6">
                    <w:rPr>
                      <w:rFonts w:ascii="MS Sans Serif" w:eastAsia="Times New Roman" w:hAnsi="MS Sans Serif" w:cs="Times New Roman"/>
                      <w:sz w:val="20"/>
                      <w:szCs w:val="20"/>
                    </w:rPr>
                    <w:t>Intervali</w:t>
                  </w:r>
                  <w:proofErr w:type="spellEnd"/>
                  <w:r w:rsidRPr="004767F6">
                    <w:rPr>
                      <w:rFonts w:ascii="MS Sans Serif" w:eastAsia="Times New Roman" w:hAnsi="MS Sans Serif" w:cs="Times New Roman"/>
                      <w:sz w:val="20"/>
                      <w:szCs w:val="20"/>
                    </w:rPr>
                    <w:t xml:space="preserve"> i </w:t>
                  </w:r>
                  <w:proofErr w:type="spellStart"/>
                  <w:r w:rsidRPr="004767F6">
                    <w:rPr>
                      <w:rFonts w:ascii="MS Sans Serif" w:eastAsia="Times New Roman" w:hAnsi="MS Sans Serif" w:cs="Times New Roman"/>
                      <w:sz w:val="20"/>
                      <w:szCs w:val="20"/>
                    </w:rPr>
                    <w:t>Besimit</w:t>
                  </w:r>
                  <w:proofErr w:type="spellEnd"/>
                  <w:r w:rsidRPr="004767F6">
                    <w:rPr>
                      <w:rFonts w:ascii="MS Sans Serif" w:eastAsia="Times New Roman" w:hAnsi="MS Sans Serif" w:cs="Times New Roman"/>
                      <w:sz w:val="20"/>
                      <w:szCs w:val="20"/>
                    </w:rPr>
                    <w:t xml:space="preserve"> 95%</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67F6" w:rsidRPr="004767F6" w:rsidRDefault="004767F6" w:rsidP="004767F6">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 xml:space="preserve"> </w:t>
                  </w:r>
                  <w:proofErr w:type="spellStart"/>
                  <w:r w:rsidRPr="004767F6">
                    <w:rPr>
                      <w:rFonts w:ascii="MS Sans Serif" w:eastAsia="Times New Roman" w:hAnsi="MS Sans Serif" w:cs="Times New Roman"/>
                      <w:sz w:val="20"/>
                      <w:szCs w:val="20"/>
                    </w:rPr>
                    <w:t>Koeficienti</w:t>
                  </w:r>
                  <w:proofErr w:type="spellEnd"/>
                  <w:r w:rsidRPr="004767F6">
                    <w:rPr>
                      <w:rFonts w:ascii="MS Sans Serif" w:eastAsia="Times New Roman" w:hAnsi="MS Sans Serif" w:cs="Times New Roman"/>
                      <w:sz w:val="20"/>
                      <w:szCs w:val="20"/>
                    </w:rPr>
                    <w:t xml:space="preserve"> i </w:t>
                  </w:r>
                  <w:proofErr w:type="spellStart"/>
                  <w:r w:rsidRPr="004767F6">
                    <w:rPr>
                      <w:rFonts w:ascii="MS Sans Serif" w:eastAsia="Times New Roman" w:hAnsi="MS Sans Serif" w:cs="Times New Roman"/>
                      <w:sz w:val="20"/>
                      <w:szCs w:val="20"/>
                    </w:rPr>
                    <w:t>Variacionit</w:t>
                  </w:r>
                  <w:proofErr w:type="spellEnd"/>
                  <w:r w:rsidRPr="004767F6">
                    <w:rPr>
                      <w:rFonts w:ascii="MS Sans Serif" w:eastAsia="Times New Roman" w:hAnsi="MS Sans Serif" w:cs="Times New Roman"/>
                      <w:sz w:val="20"/>
                      <w:szCs w:val="20"/>
                    </w:rPr>
                    <w:t xml:space="preserve"> </w:t>
                  </w:r>
                  <w:r w:rsidR="009A24B3">
                    <w:rPr>
                      <w:rFonts w:ascii="MS Sans Serif" w:eastAsia="Times New Roman" w:hAnsi="MS Sans Serif" w:cs="Times New Roman"/>
                      <w:sz w:val="20"/>
                      <w:szCs w:val="20"/>
                    </w:rPr>
                    <w:t>(%)</w:t>
                  </w:r>
                </w:p>
              </w:tc>
            </w:tr>
            <w:tr w:rsidR="004767F6" w:rsidRPr="004767F6" w:rsidTr="00883F53">
              <w:trPr>
                <w:trHeight w:val="223"/>
              </w:trPr>
              <w:tc>
                <w:tcPr>
                  <w:tcW w:w="1272" w:type="dxa"/>
                  <w:vMerge/>
                  <w:tcBorders>
                    <w:top w:val="single" w:sz="4" w:space="0" w:color="auto"/>
                    <w:left w:val="single" w:sz="4" w:space="0" w:color="auto"/>
                    <w:bottom w:val="single" w:sz="4" w:space="0" w:color="auto"/>
                    <w:right w:val="single" w:sz="4" w:space="0" w:color="auto"/>
                  </w:tcBorders>
                  <w:vAlign w:val="center"/>
                  <w:hideMark/>
                </w:tcPr>
                <w:p w:rsidR="004767F6" w:rsidRPr="004767F6" w:rsidRDefault="004767F6" w:rsidP="004767F6">
                  <w:pPr>
                    <w:spacing w:after="0" w:line="240" w:lineRule="auto"/>
                    <w:rPr>
                      <w:rFonts w:ascii="MS Sans Serif" w:eastAsia="Times New Roman" w:hAnsi="MS Sans Serif" w:cs="Times New Roman"/>
                      <w:sz w:val="20"/>
                      <w:szCs w:val="20"/>
                    </w:rPr>
                  </w:pPr>
                </w:p>
              </w:tc>
              <w:tc>
                <w:tcPr>
                  <w:tcW w:w="1809" w:type="dxa"/>
                  <w:vMerge/>
                  <w:tcBorders>
                    <w:top w:val="single" w:sz="4" w:space="0" w:color="auto"/>
                    <w:left w:val="nil"/>
                    <w:bottom w:val="single" w:sz="4" w:space="0" w:color="auto"/>
                    <w:right w:val="nil"/>
                  </w:tcBorders>
                  <w:vAlign w:val="center"/>
                  <w:hideMark/>
                </w:tcPr>
                <w:p w:rsidR="004767F6" w:rsidRPr="004767F6" w:rsidRDefault="004767F6" w:rsidP="004767F6">
                  <w:pPr>
                    <w:spacing w:after="0" w:line="240" w:lineRule="auto"/>
                    <w:rPr>
                      <w:rFonts w:ascii="MS Sans Serif" w:eastAsia="Times New Roman" w:hAnsi="MS Sans Serif" w:cs="Times New Roman"/>
                      <w:b/>
                      <w:bCs/>
                      <w:sz w:val="20"/>
                      <w:szCs w:val="20"/>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4767F6" w:rsidRPr="004767F6" w:rsidRDefault="004767F6" w:rsidP="004767F6">
                  <w:pPr>
                    <w:spacing w:after="0" w:line="240" w:lineRule="auto"/>
                    <w:rPr>
                      <w:rFonts w:ascii="MS Sans Serif" w:eastAsia="Times New Roman" w:hAnsi="MS Sans Serif" w:cs="Times New Roman"/>
                      <w:sz w:val="20"/>
                      <w:szCs w:val="20"/>
                    </w:rPr>
                  </w:pPr>
                </w:p>
              </w:tc>
              <w:tc>
                <w:tcPr>
                  <w:tcW w:w="1879" w:type="dxa"/>
                  <w:tcBorders>
                    <w:top w:val="nil"/>
                    <w:left w:val="nil"/>
                    <w:bottom w:val="single" w:sz="4" w:space="0" w:color="auto"/>
                    <w:right w:val="nil"/>
                  </w:tcBorders>
                  <w:shd w:val="clear" w:color="auto" w:fill="auto"/>
                  <w:noWrap/>
                  <w:vAlign w:val="bottom"/>
                  <w:hideMark/>
                </w:tcPr>
                <w:p w:rsidR="004767F6" w:rsidRPr="004767F6" w:rsidRDefault="004767F6" w:rsidP="004767F6">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 xml:space="preserve"> </w:t>
                  </w:r>
                  <w:proofErr w:type="spellStart"/>
                  <w:r w:rsidRPr="004767F6">
                    <w:rPr>
                      <w:rFonts w:ascii="MS Sans Serif" w:eastAsia="Times New Roman" w:hAnsi="MS Sans Serif" w:cs="Times New Roman"/>
                      <w:sz w:val="20"/>
                      <w:szCs w:val="20"/>
                    </w:rPr>
                    <w:t>Limiti</w:t>
                  </w:r>
                  <w:proofErr w:type="spellEnd"/>
                  <w:r w:rsidRPr="004767F6">
                    <w:rPr>
                      <w:rFonts w:ascii="MS Sans Serif" w:eastAsia="Times New Roman" w:hAnsi="MS Sans Serif" w:cs="Times New Roman"/>
                      <w:sz w:val="20"/>
                      <w:szCs w:val="20"/>
                    </w:rPr>
                    <w:t xml:space="preserve"> i </w:t>
                  </w:r>
                  <w:proofErr w:type="spellStart"/>
                  <w:r w:rsidRPr="004767F6">
                    <w:rPr>
                      <w:rFonts w:ascii="MS Sans Serif" w:eastAsia="Times New Roman" w:hAnsi="MS Sans Serif" w:cs="Times New Roman"/>
                      <w:sz w:val="20"/>
                      <w:szCs w:val="20"/>
                    </w:rPr>
                    <w:t>poshtem</w:t>
                  </w:r>
                  <w:proofErr w:type="spellEnd"/>
                  <w:r w:rsidRPr="004767F6">
                    <w:rPr>
                      <w:rFonts w:ascii="MS Sans Serif" w:eastAsia="Times New Roman" w:hAnsi="MS Sans Serif" w:cs="Times New Roman"/>
                      <w:sz w:val="20"/>
                      <w:szCs w:val="20"/>
                    </w:rPr>
                    <w:t xml:space="preserve"> </w:t>
                  </w:r>
                </w:p>
              </w:tc>
              <w:tc>
                <w:tcPr>
                  <w:tcW w:w="1864" w:type="dxa"/>
                  <w:tcBorders>
                    <w:top w:val="nil"/>
                    <w:left w:val="single" w:sz="4" w:space="0" w:color="auto"/>
                    <w:bottom w:val="single" w:sz="4" w:space="0" w:color="auto"/>
                    <w:right w:val="single" w:sz="4" w:space="0" w:color="auto"/>
                  </w:tcBorders>
                  <w:shd w:val="clear" w:color="auto" w:fill="auto"/>
                  <w:noWrap/>
                  <w:vAlign w:val="bottom"/>
                  <w:hideMark/>
                </w:tcPr>
                <w:p w:rsidR="004767F6" w:rsidRPr="004767F6" w:rsidRDefault="004767F6" w:rsidP="004767F6">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 xml:space="preserve"> </w:t>
                  </w:r>
                  <w:proofErr w:type="spellStart"/>
                  <w:r w:rsidRPr="004767F6">
                    <w:rPr>
                      <w:rFonts w:ascii="MS Sans Serif" w:eastAsia="Times New Roman" w:hAnsi="MS Sans Serif" w:cs="Times New Roman"/>
                      <w:sz w:val="20"/>
                      <w:szCs w:val="20"/>
                    </w:rPr>
                    <w:t>Limiti</w:t>
                  </w:r>
                  <w:proofErr w:type="spellEnd"/>
                  <w:r w:rsidRPr="004767F6">
                    <w:rPr>
                      <w:rFonts w:ascii="MS Sans Serif" w:eastAsia="Times New Roman" w:hAnsi="MS Sans Serif" w:cs="Times New Roman"/>
                      <w:sz w:val="20"/>
                      <w:szCs w:val="20"/>
                    </w:rPr>
                    <w:t xml:space="preserve"> i </w:t>
                  </w:r>
                  <w:proofErr w:type="spellStart"/>
                  <w:r w:rsidRPr="004767F6">
                    <w:rPr>
                      <w:rFonts w:ascii="MS Sans Serif" w:eastAsia="Times New Roman" w:hAnsi="MS Sans Serif" w:cs="Times New Roman"/>
                      <w:sz w:val="20"/>
                      <w:szCs w:val="20"/>
                    </w:rPr>
                    <w:t>Sipërm</w:t>
                  </w:r>
                  <w:proofErr w:type="spellEnd"/>
                  <w:r w:rsidRPr="004767F6">
                    <w:rPr>
                      <w:rFonts w:ascii="MS Sans Serif" w:eastAsia="Times New Roman" w:hAnsi="MS Sans Serif" w:cs="Times New Roman"/>
                      <w:sz w:val="20"/>
                      <w:szCs w:val="20"/>
                    </w:rPr>
                    <w:t xml:space="preserve"> </w:t>
                  </w: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4767F6" w:rsidRPr="004767F6" w:rsidRDefault="004767F6" w:rsidP="004767F6">
                  <w:pPr>
                    <w:spacing w:after="0" w:line="240" w:lineRule="auto"/>
                    <w:rPr>
                      <w:rFonts w:ascii="MS Sans Serif" w:eastAsia="Times New Roman" w:hAnsi="MS Sans Serif" w:cs="Times New Roman"/>
                      <w:sz w:val="20"/>
                      <w:szCs w:val="20"/>
                    </w:rPr>
                  </w:pP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B</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688</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26</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637</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739</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3.8</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C</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8,346</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209</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7,936</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8,757</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2.5</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D</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380</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33</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314</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445</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8.8</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E</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261</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249</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274</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2.4</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F</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3,930</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162</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3,613</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4,248</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4.1</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G</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41,661</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484</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40,712</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42,609</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1.2</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H</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5,193</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84</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5,027</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5,358</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1.6</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I</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17,394</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195</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17,010</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17,777</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1.1</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J</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2,709</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94</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2,525</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2,893</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3.5</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L</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753</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52</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651</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856</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6.9</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M</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6,602</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114</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6,379</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6,824</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1.7</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N</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3,098</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112</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2,879</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3,318</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3.6</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P</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925</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60</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807</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1,042</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6.5</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Q</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3,240</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85</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3,073</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3,407</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2.6</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R</w:t>
                  </w:r>
                </w:p>
              </w:tc>
              <w:tc>
                <w:tcPr>
                  <w:tcW w:w="1809" w:type="dxa"/>
                  <w:tcBorders>
                    <w:top w:val="nil"/>
                    <w:left w:val="nil"/>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1,197</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77</w:t>
                  </w:r>
                </w:p>
              </w:tc>
              <w:tc>
                <w:tcPr>
                  <w:tcW w:w="1879"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1,046</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1,347</w:t>
                  </w:r>
                </w:p>
              </w:tc>
              <w:tc>
                <w:tcPr>
                  <w:tcW w:w="1475"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6.4</w:t>
                  </w:r>
                </w:p>
              </w:tc>
            </w:tr>
            <w:tr w:rsidR="004767F6" w:rsidRPr="004767F6" w:rsidTr="00883F53">
              <w:trPr>
                <w:trHeight w:val="223"/>
              </w:trPr>
              <w:tc>
                <w:tcPr>
                  <w:tcW w:w="1272" w:type="dxa"/>
                  <w:tcBorders>
                    <w:top w:val="nil"/>
                    <w:left w:val="single" w:sz="4" w:space="0" w:color="auto"/>
                    <w:bottom w:val="nil"/>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S</w:t>
                  </w:r>
                </w:p>
              </w:tc>
              <w:tc>
                <w:tcPr>
                  <w:tcW w:w="1809" w:type="dxa"/>
                  <w:tcBorders>
                    <w:top w:val="nil"/>
                    <w:left w:val="nil"/>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7,714</w:t>
                  </w:r>
                </w:p>
              </w:tc>
              <w:tc>
                <w:tcPr>
                  <w:tcW w:w="1916"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174</w:t>
                  </w:r>
                </w:p>
              </w:tc>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7,373</w:t>
                  </w:r>
                </w:p>
              </w:tc>
              <w:tc>
                <w:tcPr>
                  <w:tcW w:w="1864" w:type="dxa"/>
                  <w:tcBorders>
                    <w:top w:val="nil"/>
                    <w:left w:val="nil"/>
                    <w:bottom w:val="nil"/>
                    <w:right w:val="nil"/>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8,055</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sz w:val="20"/>
                      <w:szCs w:val="20"/>
                    </w:rPr>
                  </w:pPr>
                  <w:r w:rsidRPr="004767F6">
                    <w:rPr>
                      <w:rFonts w:ascii="MS Sans Serif" w:eastAsia="Times New Roman" w:hAnsi="MS Sans Serif" w:cs="Times New Roman"/>
                      <w:sz w:val="20"/>
                      <w:szCs w:val="20"/>
                    </w:rPr>
                    <w:t>2.3</w:t>
                  </w:r>
                </w:p>
              </w:tc>
            </w:tr>
            <w:tr w:rsidR="004767F6" w:rsidRPr="004767F6" w:rsidTr="00C16BE2">
              <w:trPr>
                <w:trHeight w:val="395"/>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rPr>
                      <w:rFonts w:ascii="MS Sans Serif" w:eastAsia="Times New Roman" w:hAnsi="MS Sans Serif" w:cs="Times New Roman"/>
                      <w:b/>
                      <w:bCs/>
                      <w:sz w:val="20"/>
                      <w:szCs w:val="20"/>
                    </w:rPr>
                  </w:pPr>
                  <w:proofErr w:type="spellStart"/>
                  <w:r w:rsidRPr="004767F6">
                    <w:rPr>
                      <w:rFonts w:ascii="MS Sans Serif" w:eastAsia="Times New Roman" w:hAnsi="MS Sans Serif" w:cs="Times New Roman"/>
                      <w:b/>
                      <w:bCs/>
                      <w:sz w:val="20"/>
                      <w:szCs w:val="20"/>
                    </w:rPr>
                    <w:t>Gjithsej</w:t>
                  </w:r>
                  <w:proofErr w:type="spellEnd"/>
                </w:p>
              </w:tc>
              <w:tc>
                <w:tcPr>
                  <w:tcW w:w="1809" w:type="dxa"/>
                  <w:tcBorders>
                    <w:top w:val="nil"/>
                    <w:left w:val="nil"/>
                    <w:bottom w:val="single" w:sz="4" w:space="0" w:color="auto"/>
                    <w:right w:val="single" w:sz="4" w:space="0" w:color="auto"/>
                  </w:tcBorders>
                  <w:shd w:val="clear" w:color="auto" w:fill="auto"/>
                  <w:noWrap/>
                  <w:vAlign w:val="bottom"/>
                  <w:hideMark/>
                </w:tcPr>
                <w:p w:rsidR="004767F6" w:rsidRPr="004767F6" w:rsidRDefault="004767F6" w:rsidP="009D61C0">
                  <w:pPr>
                    <w:spacing w:after="0" w:line="240" w:lineRule="auto"/>
                    <w:jc w:val="center"/>
                    <w:rPr>
                      <w:rFonts w:ascii="MS Sans Serif" w:eastAsia="Times New Roman" w:hAnsi="MS Sans Serif" w:cs="Times New Roman"/>
                      <w:b/>
                      <w:bCs/>
                      <w:sz w:val="20"/>
                      <w:szCs w:val="20"/>
                    </w:rPr>
                  </w:pPr>
                  <w:r w:rsidRPr="004767F6">
                    <w:rPr>
                      <w:rFonts w:ascii="MS Sans Serif" w:eastAsia="Times New Roman" w:hAnsi="MS Sans Serif" w:cs="Times New Roman"/>
                      <w:b/>
                      <w:bCs/>
                      <w:sz w:val="20"/>
                      <w:szCs w:val="20"/>
                    </w:rPr>
                    <w:t>104,09</w:t>
                  </w:r>
                  <w:r w:rsidR="009D61C0">
                    <w:rPr>
                      <w:rFonts w:ascii="MS Sans Serif" w:eastAsia="Times New Roman" w:hAnsi="MS Sans Serif" w:cs="Times New Roman"/>
                      <w:b/>
                      <w:bCs/>
                      <w:sz w:val="20"/>
                      <w:szCs w:val="20"/>
                    </w:rPr>
                    <w:t>0</w:t>
                  </w:r>
                </w:p>
              </w:tc>
              <w:tc>
                <w:tcPr>
                  <w:tcW w:w="1916" w:type="dxa"/>
                  <w:tcBorders>
                    <w:top w:val="single" w:sz="4" w:space="0" w:color="auto"/>
                    <w:left w:val="nil"/>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b/>
                      <w:bCs/>
                      <w:sz w:val="20"/>
                      <w:szCs w:val="20"/>
                    </w:rPr>
                  </w:pPr>
                  <w:r w:rsidRPr="004767F6">
                    <w:rPr>
                      <w:rFonts w:ascii="MS Sans Serif" w:eastAsia="Times New Roman" w:hAnsi="MS Sans Serif" w:cs="Times New Roman"/>
                      <w:b/>
                      <w:bCs/>
                      <w:sz w:val="20"/>
                      <w:szCs w:val="20"/>
                    </w:rPr>
                    <w:t>462</w:t>
                  </w:r>
                </w:p>
              </w:tc>
              <w:tc>
                <w:tcPr>
                  <w:tcW w:w="1879" w:type="dxa"/>
                  <w:tcBorders>
                    <w:top w:val="nil"/>
                    <w:left w:val="nil"/>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b/>
                      <w:bCs/>
                      <w:sz w:val="20"/>
                      <w:szCs w:val="20"/>
                    </w:rPr>
                  </w:pPr>
                  <w:r w:rsidRPr="004767F6">
                    <w:rPr>
                      <w:rFonts w:ascii="MS Sans Serif" w:eastAsia="Times New Roman" w:hAnsi="MS Sans Serif" w:cs="Times New Roman"/>
                      <w:b/>
                      <w:bCs/>
                      <w:sz w:val="20"/>
                      <w:szCs w:val="20"/>
                    </w:rPr>
                    <w:t>103,185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b/>
                      <w:bCs/>
                      <w:sz w:val="20"/>
                      <w:szCs w:val="20"/>
                    </w:rPr>
                  </w:pPr>
                  <w:r w:rsidRPr="004767F6">
                    <w:rPr>
                      <w:rFonts w:ascii="MS Sans Serif" w:eastAsia="Times New Roman" w:hAnsi="MS Sans Serif" w:cs="Times New Roman"/>
                      <w:b/>
                      <w:bCs/>
                      <w:sz w:val="20"/>
                      <w:szCs w:val="20"/>
                    </w:rPr>
                    <w:t>104,997</w:t>
                  </w:r>
                </w:p>
              </w:tc>
              <w:tc>
                <w:tcPr>
                  <w:tcW w:w="1475" w:type="dxa"/>
                  <w:tcBorders>
                    <w:top w:val="nil"/>
                    <w:left w:val="nil"/>
                    <w:bottom w:val="single" w:sz="4" w:space="0" w:color="auto"/>
                    <w:right w:val="single" w:sz="4" w:space="0" w:color="auto"/>
                  </w:tcBorders>
                  <w:shd w:val="clear" w:color="auto" w:fill="auto"/>
                  <w:noWrap/>
                  <w:vAlign w:val="bottom"/>
                  <w:hideMark/>
                </w:tcPr>
                <w:p w:rsidR="004767F6" w:rsidRPr="004767F6" w:rsidRDefault="004767F6" w:rsidP="00883F53">
                  <w:pPr>
                    <w:spacing w:after="0" w:line="240" w:lineRule="auto"/>
                    <w:jc w:val="center"/>
                    <w:rPr>
                      <w:rFonts w:ascii="MS Sans Serif" w:eastAsia="Times New Roman" w:hAnsi="MS Sans Serif" w:cs="Times New Roman"/>
                      <w:b/>
                      <w:bCs/>
                      <w:sz w:val="20"/>
                      <w:szCs w:val="20"/>
                    </w:rPr>
                  </w:pPr>
                  <w:r w:rsidRPr="004767F6">
                    <w:rPr>
                      <w:rFonts w:ascii="MS Sans Serif" w:eastAsia="Times New Roman" w:hAnsi="MS Sans Serif" w:cs="Times New Roman"/>
                      <w:b/>
                      <w:bCs/>
                      <w:sz w:val="20"/>
                      <w:szCs w:val="20"/>
                    </w:rPr>
                    <w:t>0.4</w:t>
                  </w:r>
                </w:p>
              </w:tc>
            </w:tr>
          </w:tbl>
          <w:p w:rsidR="00C16BE2" w:rsidRPr="004B1A23" w:rsidRDefault="00C16BE2" w:rsidP="004767F6">
            <w:pPr>
              <w:spacing w:after="0"/>
              <w:rPr>
                <w:rFonts w:ascii="Times New Roman" w:eastAsia="Times New Roman" w:hAnsi="Times New Roman" w:cs="Times New Roman"/>
                <w:b/>
                <w:noProof/>
                <w:color w:val="000000"/>
                <w:sz w:val="20"/>
                <w:szCs w:val="20"/>
                <w:lang w:val="sq-AL" w:eastAsia="sq-AL"/>
              </w:rPr>
            </w:pPr>
          </w:p>
        </w:tc>
      </w:tr>
    </w:tbl>
    <w:p w:rsidR="007062AB" w:rsidRDefault="007062AB" w:rsidP="00A112B8">
      <w:pPr>
        <w:spacing w:after="0"/>
        <w:rPr>
          <w:rFonts w:ascii="Times New Roman" w:hAnsi="Times New Roman" w:cs="Times New Roman"/>
          <w:noProof/>
          <w:lang w:val="sq-AL"/>
        </w:rPr>
      </w:pPr>
    </w:p>
    <w:sectPr w:rsidR="007062AB" w:rsidSect="00FA1304">
      <w:footerReference w:type="default" r:id="rId2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39E" w:rsidRDefault="000C739E" w:rsidP="00FA1304">
      <w:pPr>
        <w:spacing w:after="0" w:line="240" w:lineRule="auto"/>
      </w:pPr>
      <w:r>
        <w:separator/>
      </w:r>
    </w:p>
  </w:endnote>
  <w:endnote w:type="continuationSeparator" w:id="0">
    <w:p w:rsidR="000C739E" w:rsidRDefault="000C739E"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rsidR="009D61C0" w:rsidRDefault="009D61C0">
        <w:pPr>
          <w:pStyle w:val="Footer"/>
          <w:jc w:val="right"/>
        </w:pPr>
        <w:r>
          <w:fldChar w:fldCharType="begin"/>
        </w:r>
        <w:r>
          <w:instrText xml:space="preserve"> PAGE   \* MERGEFORMAT </w:instrText>
        </w:r>
        <w:r>
          <w:fldChar w:fldCharType="separate"/>
        </w:r>
        <w:r w:rsidR="00B80D9A">
          <w:rPr>
            <w:noProof/>
          </w:rPr>
          <w:t>15</w:t>
        </w:r>
        <w:r>
          <w:rPr>
            <w:noProof/>
          </w:rPr>
          <w:fldChar w:fldCharType="end"/>
        </w:r>
      </w:p>
    </w:sdtContent>
  </w:sdt>
  <w:p w:rsidR="009D61C0" w:rsidRDefault="009D6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39E" w:rsidRDefault="000C739E" w:rsidP="00FA1304">
      <w:pPr>
        <w:spacing w:after="0" w:line="240" w:lineRule="auto"/>
      </w:pPr>
      <w:r>
        <w:separator/>
      </w:r>
    </w:p>
  </w:footnote>
  <w:footnote w:type="continuationSeparator" w:id="0">
    <w:p w:rsidR="000C739E" w:rsidRDefault="000C739E"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F48"/>
    <w:multiLevelType w:val="hybridMultilevel"/>
    <w:tmpl w:val="70561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D2EB6"/>
    <w:multiLevelType w:val="hybridMultilevel"/>
    <w:tmpl w:val="794CB44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301A0F87"/>
    <w:multiLevelType w:val="hybridMultilevel"/>
    <w:tmpl w:val="A272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56797"/>
    <w:multiLevelType w:val="hybridMultilevel"/>
    <w:tmpl w:val="1DCC970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53F33"/>
    <w:multiLevelType w:val="hybridMultilevel"/>
    <w:tmpl w:val="1F80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5">
    <w:nsid w:val="37C539E9"/>
    <w:multiLevelType w:val="hybridMultilevel"/>
    <w:tmpl w:val="B5C4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1769A"/>
    <w:multiLevelType w:val="hybridMultilevel"/>
    <w:tmpl w:val="AE102768"/>
    <w:lvl w:ilvl="0" w:tplc="04090015">
      <w:start w:val="1"/>
      <w:numFmt w:val="upperLetter"/>
      <w:lvlText w:val="%1."/>
      <w:lvlJc w:val="left"/>
      <w:pPr>
        <w:ind w:left="461" w:hanging="360"/>
      </w:p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nsid w:val="3BFC628B"/>
    <w:multiLevelType w:val="hybridMultilevel"/>
    <w:tmpl w:val="89C2461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nsid w:val="3E7264C8"/>
    <w:multiLevelType w:val="hybridMultilevel"/>
    <w:tmpl w:val="D5AE180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9">
    <w:nsid w:val="40454779"/>
    <w:multiLevelType w:val="hybridMultilevel"/>
    <w:tmpl w:val="4A921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6768FD"/>
    <w:multiLevelType w:val="hybridMultilevel"/>
    <w:tmpl w:val="0EE0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02713F"/>
    <w:multiLevelType w:val="hybridMultilevel"/>
    <w:tmpl w:val="9AC037E6"/>
    <w:lvl w:ilvl="0" w:tplc="9052287C">
      <w:start w:val="1"/>
      <w:numFmt w:val="decimal"/>
      <w:lvlText w:val="%1."/>
      <w:lvlJc w:val="left"/>
      <w:pPr>
        <w:ind w:left="461" w:hanging="36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2">
    <w:nsid w:val="4ABC4B32"/>
    <w:multiLevelType w:val="hybridMultilevel"/>
    <w:tmpl w:val="163C7AA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3">
    <w:nsid w:val="55FD11A0"/>
    <w:multiLevelType w:val="hybridMultilevel"/>
    <w:tmpl w:val="0D667A9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4">
    <w:nsid w:val="56F84373"/>
    <w:multiLevelType w:val="hybridMultilevel"/>
    <w:tmpl w:val="73ECC68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5">
    <w:nsid w:val="5EB62C31"/>
    <w:multiLevelType w:val="hybridMultilevel"/>
    <w:tmpl w:val="AF862F88"/>
    <w:lvl w:ilvl="0" w:tplc="04090001">
      <w:start w:val="1"/>
      <w:numFmt w:val="bullet"/>
      <w:lvlText w:val=""/>
      <w:lvlJc w:val="left"/>
      <w:pPr>
        <w:ind w:left="46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6F5A1C"/>
    <w:multiLevelType w:val="hybridMultilevel"/>
    <w:tmpl w:val="28BE4E0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A58C0"/>
    <w:multiLevelType w:val="hybridMultilevel"/>
    <w:tmpl w:val="73CA7132"/>
    <w:lvl w:ilvl="0" w:tplc="04EE7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DF5784"/>
    <w:multiLevelType w:val="hybridMultilevel"/>
    <w:tmpl w:val="E35822E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9">
    <w:nsid w:val="72CD77D1"/>
    <w:multiLevelType w:val="hybridMultilevel"/>
    <w:tmpl w:val="BF2A4A0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0">
    <w:nsid w:val="76DF2B95"/>
    <w:multiLevelType w:val="hybridMultilevel"/>
    <w:tmpl w:val="691E409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1">
    <w:nsid w:val="78010099"/>
    <w:multiLevelType w:val="hybridMultilevel"/>
    <w:tmpl w:val="FCDC0C2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7D2C4C99"/>
    <w:multiLevelType w:val="hybridMultilevel"/>
    <w:tmpl w:val="473647AA"/>
    <w:lvl w:ilvl="0" w:tplc="B2364D02">
      <w:start w:val="1"/>
      <w:numFmt w:val="bullet"/>
      <w:lvlText w:val=""/>
      <w:lvlJc w:val="left"/>
      <w:pPr>
        <w:ind w:left="461" w:hanging="360"/>
      </w:pPr>
      <w:rPr>
        <w:rFonts w:ascii="Symbol" w:hAnsi="Symbol" w:hint="default"/>
        <w:color w:val="auto"/>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11"/>
  </w:num>
  <w:num w:numId="2">
    <w:abstractNumId w:val="19"/>
  </w:num>
  <w:num w:numId="3">
    <w:abstractNumId w:val="18"/>
  </w:num>
  <w:num w:numId="4">
    <w:abstractNumId w:val="0"/>
  </w:num>
  <w:num w:numId="5">
    <w:abstractNumId w:val="17"/>
  </w:num>
  <w:num w:numId="6">
    <w:abstractNumId w:val="8"/>
  </w:num>
  <w:num w:numId="7">
    <w:abstractNumId w:val="22"/>
  </w:num>
  <w:num w:numId="8">
    <w:abstractNumId w:val="21"/>
  </w:num>
  <w:num w:numId="9">
    <w:abstractNumId w:val="3"/>
  </w:num>
  <w:num w:numId="10">
    <w:abstractNumId w:val="15"/>
  </w:num>
  <w:num w:numId="11">
    <w:abstractNumId w:val="4"/>
  </w:num>
  <w:num w:numId="12">
    <w:abstractNumId w:val="1"/>
  </w:num>
  <w:num w:numId="13">
    <w:abstractNumId w:val="13"/>
  </w:num>
  <w:num w:numId="14">
    <w:abstractNumId w:val="20"/>
  </w:num>
  <w:num w:numId="15">
    <w:abstractNumId w:val="16"/>
  </w:num>
  <w:num w:numId="16">
    <w:abstractNumId w:val="9"/>
  </w:num>
  <w:num w:numId="17">
    <w:abstractNumId w:val="7"/>
  </w:num>
  <w:num w:numId="18">
    <w:abstractNumId w:val="12"/>
  </w:num>
  <w:num w:numId="19">
    <w:abstractNumId w:val="14"/>
  </w:num>
  <w:num w:numId="20">
    <w:abstractNumId w:val="2"/>
  </w:num>
  <w:num w:numId="21">
    <w:abstractNumId w:val="5"/>
  </w:num>
  <w:num w:numId="22">
    <w:abstractNumId w:val="10"/>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434D"/>
    <w:rsid w:val="00011189"/>
    <w:rsid w:val="000121F1"/>
    <w:rsid w:val="00017DA0"/>
    <w:rsid w:val="00021F57"/>
    <w:rsid w:val="000223A0"/>
    <w:rsid w:val="00024A4A"/>
    <w:rsid w:val="00026C07"/>
    <w:rsid w:val="0003026A"/>
    <w:rsid w:val="00041C95"/>
    <w:rsid w:val="00041D42"/>
    <w:rsid w:val="000424F0"/>
    <w:rsid w:val="00061756"/>
    <w:rsid w:val="00065B68"/>
    <w:rsid w:val="00066D29"/>
    <w:rsid w:val="000801D3"/>
    <w:rsid w:val="00087E65"/>
    <w:rsid w:val="00095639"/>
    <w:rsid w:val="00097D08"/>
    <w:rsid w:val="00097E6A"/>
    <w:rsid w:val="000B0109"/>
    <w:rsid w:val="000B417B"/>
    <w:rsid w:val="000C1175"/>
    <w:rsid w:val="000C43FD"/>
    <w:rsid w:val="000C739E"/>
    <w:rsid w:val="000D0FD4"/>
    <w:rsid w:val="000D5BD9"/>
    <w:rsid w:val="000E3968"/>
    <w:rsid w:val="000F0ADC"/>
    <w:rsid w:val="000F1E09"/>
    <w:rsid w:val="000F21F5"/>
    <w:rsid w:val="000F5F8F"/>
    <w:rsid w:val="001033D7"/>
    <w:rsid w:val="00106C68"/>
    <w:rsid w:val="001122E0"/>
    <w:rsid w:val="001215A2"/>
    <w:rsid w:val="001272B3"/>
    <w:rsid w:val="00133E0E"/>
    <w:rsid w:val="00134082"/>
    <w:rsid w:val="00135AE5"/>
    <w:rsid w:val="001415EF"/>
    <w:rsid w:val="00157FA6"/>
    <w:rsid w:val="00163BA0"/>
    <w:rsid w:val="00180FD9"/>
    <w:rsid w:val="00181854"/>
    <w:rsid w:val="00185CCC"/>
    <w:rsid w:val="00187573"/>
    <w:rsid w:val="00194C4E"/>
    <w:rsid w:val="00194C8C"/>
    <w:rsid w:val="001A6FA0"/>
    <w:rsid w:val="001B12BB"/>
    <w:rsid w:val="001B3D68"/>
    <w:rsid w:val="001B66CD"/>
    <w:rsid w:val="001C22BD"/>
    <w:rsid w:val="001C7200"/>
    <w:rsid w:val="001F2072"/>
    <w:rsid w:val="002032D3"/>
    <w:rsid w:val="0021068D"/>
    <w:rsid w:val="00212467"/>
    <w:rsid w:val="0021278E"/>
    <w:rsid w:val="002133F9"/>
    <w:rsid w:val="002149D3"/>
    <w:rsid w:val="00214A13"/>
    <w:rsid w:val="00221FBF"/>
    <w:rsid w:val="00222AB0"/>
    <w:rsid w:val="00223F89"/>
    <w:rsid w:val="0023053A"/>
    <w:rsid w:val="002314D0"/>
    <w:rsid w:val="00234EF0"/>
    <w:rsid w:val="00241524"/>
    <w:rsid w:val="00242E64"/>
    <w:rsid w:val="0024325C"/>
    <w:rsid w:val="0024745D"/>
    <w:rsid w:val="00247A56"/>
    <w:rsid w:val="00250CEE"/>
    <w:rsid w:val="00252804"/>
    <w:rsid w:val="002707AF"/>
    <w:rsid w:val="00273D7A"/>
    <w:rsid w:val="0027628F"/>
    <w:rsid w:val="0028142A"/>
    <w:rsid w:val="00284F19"/>
    <w:rsid w:val="00287C4B"/>
    <w:rsid w:val="002947B8"/>
    <w:rsid w:val="00294ED9"/>
    <w:rsid w:val="002B0F51"/>
    <w:rsid w:val="002B3446"/>
    <w:rsid w:val="002B4C1D"/>
    <w:rsid w:val="002C1DAF"/>
    <w:rsid w:val="002C52D0"/>
    <w:rsid w:val="002C6345"/>
    <w:rsid w:val="002D08ED"/>
    <w:rsid w:val="002D4799"/>
    <w:rsid w:val="002D5353"/>
    <w:rsid w:val="002E2676"/>
    <w:rsid w:val="002E336D"/>
    <w:rsid w:val="002E38ED"/>
    <w:rsid w:val="002E543D"/>
    <w:rsid w:val="002F71BE"/>
    <w:rsid w:val="00301232"/>
    <w:rsid w:val="003050CD"/>
    <w:rsid w:val="00306195"/>
    <w:rsid w:val="003070CF"/>
    <w:rsid w:val="0031724C"/>
    <w:rsid w:val="00317E7C"/>
    <w:rsid w:val="00324506"/>
    <w:rsid w:val="00326A81"/>
    <w:rsid w:val="00335CA0"/>
    <w:rsid w:val="00336576"/>
    <w:rsid w:val="0034010B"/>
    <w:rsid w:val="003405B5"/>
    <w:rsid w:val="00343A0D"/>
    <w:rsid w:val="00344219"/>
    <w:rsid w:val="0034618C"/>
    <w:rsid w:val="00346397"/>
    <w:rsid w:val="003565CE"/>
    <w:rsid w:val="00356E01"/>
    <w:rsid w:val="00365251"/>
    <w:rsid w:val="00366EB6"/>
    <w:rsid w:val="00377F9C"/>
    <w:rsid w:val="00382230"/>
    <w:rsid w:val="00384D79"/>
    <w:rsid w:val="00385E02"/>
    <w:rsid w:val="00386AC4"/>
    <w:rsid w:val="00386C49"/>
    <w:rsid w:val="00391E47"/>
    <w:rsid w:val="0039644B"/>
    <w:rsid w:val="003A26F6"/>
    <w:rsid w:val="003A3E29"/>
    <w:rsid w:val="003A7D81"/>
    <w:rsid w:val="003B134C"/>
    <w:rsid w:val="003B33CD"/>
    <w:rsid w:val="003B3458"/>
    <w:rsid w:val="003B7D3E"/>
    <w:rsid w:val="003C06EA"/>
    <w:rsid w:val="003C25FC"/>
    <w:rsid w:val="003C3D16"/>
    <w:rsid w:val="003C4532"/>
    <w:rsid w:val="003D16A3"/>
    <w:rsid w:val="003D5AB8"/>
    <w:rsid w:val="003D66E0"/>
    <w:rsid w:val="003E07DF"/>
    <w:rsid w:val="003F3569"/>
    <w:rsid w:val="003F3973"/>
    <w:rsid w:val="0040187D"/>
    <w:rsid w:val="00407D93"/>
    <w:rsid w:val="00411B47"/>
    <w:rsid w:val="0041437D"/>
    <w:rsid w:val="004229B6"/>
    <w:rsid w:val="004261B8"/>
    <w:rsid w:val="00426715"/>
    <w:rsid w:val="00430D9B"/>
    <w:rsid w:val="004343E2"/>
    <w:rsid w:val="004446B2"/>
    <w:rsid w:val="0045100E"/>
    <w:rsid w:val="0045373F"/>
    <w:rsid w:val="00457D5E"/>
    <w:rsid w:val="00460668"/>
    <w:rsid w:val="00460CC1"/>
    <w:rsid w:val="0046614C"/>
    <w:rsid w:val="00474588"/>
    <w:rsid w:val="004767F6"/>
    <w:rsid w:val="00477D1D"/>
    <w:rsid w:val="0048078D"/>
    <w:rsid w:val="00485C8E"/>
    <w:rsid w:val="00494CE5"/>
    <w:rsid w:val="00495EAE"/>
    <w:rsid w:val="004B0A20"/>
    <w:rsid w:val="004B0A56"/>
    <w:rsid w:val="004B1A23"/>
    <w:rsid w:val="004C4105"/>
    <w:rsid w:val="004C69D8"/>
    <w:rsid w:val="004D78A9"/>
    <w:rsid w:val="004E063F"/>
    <w:rsid w:val="004F68A1"/>
    <w:rsid w:val="00501590"/>
    <w:rsid w:val="00503F2D"/>
    <w:rsid w:val="005046A3"/>
    <w:rsid w:val="0051472B"/>
    <w:rsid w:val="00520D48"/>
    <w:rsid w:val="005216BB"/>
    <w:rsid w:val="00525A74"/>
    <w:rsid w:val="00547988"/>
    <w:rsid w:val="005515B6"/>
    <w:rsid w:val="0055408D"/>
    <w:rsid w:val="00555151"/>
    <w:rsid w:val="00557107"/>
    <w:rsid w:val="00557E8F"/>
    <w:rsid w:val="00574AD8"/>
    <w:rsid w:val="00586287"/>
    <w:rsid w:val="00587DA8"/>
    <w:rsid w:val="00591509"/>
    <w:rsid w:val="00597130"/>
    <w:rsid w:val="005A225B"/>
    <w:rsid w:val="005A3CA6"/>
    <w:rsid w:val="005A61B2"/>
    <w:rsid w:val="005B7186"/>
    <w:rsid w:val="005B7EF1"/>
    <w:rsid w:val="005C4140"/>
    <w:rsid w:val="005C5471"/>
    <w:rsid w:val="005C7315"/>
    <w:rsid w:val="005D083D"/>
    <w:rsid w:val="005D5C41"/>
    <w:rsid w:val="005E049C"/>
    <w:rsid w:val="005E13A7"/>
    <w:rsid w:val="005E4644"/>
    <w:rsid w:val="005F1AAE"/>
    <w:rsid w:val="006001A2"/>
    <w:rsid w:val="00601E51"/>
    <w:rsid w:val="00606EFC"/>
    <w:rsid w:val="006073EB"/>
    <w:rsid w:val="00613BD6"/>
    <w:rsid w:val="00615A85"/>
    <w:rsid w:val="00617106"/>
    <w:rsid w:val="006178E3"/>
    <w:rsid w:val="00622D25"/>
    <w:rsid w:val="00625815"/>
    <w:rsid w:val="00626614"/>
    <w:rsid w:val="00635F31"/>
    <w:rsid w:val="006419F1"/>
    <w:rsid w:val="00643132"/>
    <w:rsid w:val="00644BCB"/>
    <w:rsid w:val="006478B1"/>
    <w:rsid w:val="00647E89"/>
    <w:rsid w:val="006666FF"/>
    <w:rsid w:val="00666BD0"/>
    <w:rsid w:val="00672856"/>
    <w:rsid w:val="00673015"/>
    <w:rsid w:val="00680521"/>
    <w:rsid w:val="00682060"/>
    <w:rsid w:val="00687F75"/>
    <w:rsid w:val="006912E1"/>
    <w:rsid w:val="00694B94"/>
    <w:rsid w:val="006A4810"/>
    <w:rsid w:val="006A4ED9"/>
    <w:rsid w:val="006A78B2"/>
    <w:rsid w:val="006C0014"/>
    <w:rsid w:val="006C2362"/>
    <w:rsid w:val="006D27D2"/>
    <w:rsid w:val="006D67DF"/>
    <w:rsid w:val="006E2E5D"/>
    <w:rsid w:val="006E6CE8"/>
    <w:rsid w:val="006F37FE"/>
    <w:rsid w:val="007062AB"/>
    <w:rsid w:val="00715605"/>
    <w:rsid w:val="00723B00"/>
    <w:rsid w:val="00725A1E"/>
    <w:rsid w:val="00725F8A"/>
    <w:rsid w:val="0072637A"/>
    <w:rsid w:val="0072790D"/>
    <w:rsid w:val="00735EC3"/>
    <w:rsid w:val="00755DA4"/>
    <w:rsid w:val="00761472"/>
    <w:rsid w:val="007635BB"/>
    <w:rsid w:val="00763D4E"/>
    <w:rsid w:val="00772C2F"/>
    <w:rsid w:val="00780B6F"/>
    <w:rsid w:val="00790886"/>
    <w:rsid w:val="00792419"/>
    <w:rsid w:val="0079602F"/>
    <w:rsid w:val="00796650"/>
    <w:rsid w:val="007B1894"/>
    <w:rsid w:val="007B3C66"/>
    <w:rsid w:val="007B4EB2"/>
    <w:rsid w:val="007C000C"/>
    <w:rsid w:val="007C0776"/>
    <w:rsid w:val="007C0819"/>
    <w:rsid w:val="007D72C7"/>
    <w:rsid w:val="007F5778"/>
    <w:rsid w:val="00807B81"/>
    <w:rsid w:val="00813FA3"/>
    <w:rsid w:val="00817B67"/>
    <w:rsid w:val="00820B3F"/>
    <w:rsid w:val="00821042"/>
    <w:rsid w:val="0082329B"/>
    <w:rsid w:val="00833B1C"/>
    <w:rsid w:val="0083623C"/>
    <w:rsid w:val="00840ED6"/>
    <w:rsid w:val="00842A54"/>
    <w:rsid w:val="00843208"/>
    <w:rsid w:val="008460BF"/>
    <w:rsid w:val="0085628B"/>
    <w:rsid w:val="0086579F"/>
    <w:rsid w:val="0087319B"/>
    <w:rsid w:val="00875F11"/>
    <w:rsid w:val="00876FAE"/>
    <w:rsid w:val="008771B9"/>
    <w:rsid w:val="00882953"/>
    <w:rsid w:val="00883AFA"/>
    <w:rsid w:val="00883F53"/>
    <w:rsid w:val="00884BB3"/>
    <w:rsid w:val="008857EA"/>
    <w:rsid w:val="00886A87"/>
    <w:rsid w:val="008901A9"/>
    <w:rsid w:val="00894D62"/>
    <w:rsid w:val="00896076"/>
    <w:rsid w:val="00896CF4"/>
    <w:rsid w:val="008971C1"/>
    <w:rsid w:val="008A4003"/>
    <w:rsid w:val="008A4F2D"/>
    <w:rsid w:val="008A736D"/>
    <w:rsid w:val="008B1347"/>
    <w:rsid w:val="008B1665"/>
    <w:rsid w:val="008B3D8E"/>
    <w:rsid w:val="008B6ED3"/>
    <w:rsid w:val="008B761A"/>
    <w:rsid w:val="008C1C1A"/>
    <w:rsid w:val="008C2688"/>
    <w:rsid w:val="008C3892"/>
    <w:rsid w:val="008F1633"/>
    <w:rsid w:val="00926991"/>
    <w:rsid w:val="00932F91"/>
    <w:rsid w:val="009330C9"/>
    <w:rsid w:val="00935286"/>
    <w:rsid w:val="0093733B"/>
    <w:rsid w:val="00940C09"/>
    <w:rsid w:val="00954D1E"/>
    <w:rsid w:val="00955EEE"/>
    <w:rsid w:val="0095791B"/>
    <w:rsid w:val="00962376"/>
    <w:rsid w:val="00977503"/>
    <w:rsid w:val="0098418E"/>
    <w:rsid w:val="009876D4"/>
    <w:rsid w:val="00995D78"/>
    <w:rsid w:val="009A24B3"/>
    <w:rsid w:val="009A7035"/>
    <w:rsid w:val="009B09F9"/>
    <w:rsid w:val="009B3405"/>
    <w:rsid w:val="009C4419"/>
    <w:rsid w:val="009C72A3"/>
    <w:rsid w:val="009C7EC0"/>
    <w:rsid w:val="009D1A9B"/>
    <w:rsid w:val="009D33A3"/>
    <w:rsid w:val="009D374A"/>
    <w:rsid w:val="009D61C0"/>
    <w:rsid w:val="009D757C"/>
    <w:rsid w:val="009E09D3"/>
    <w:rsid w:val="009F664F"/>
    <w:rsid w:val="009F7D11"/>
    <w:rsid w:val="00A0085D"/>
    <w:rsid w:val="00A01647"/>
    <w:rsid w:val="00A07EAA"/>
    <w:rsid w:val="00A112B8"/>
    <w:rsid w:val="00A1130E"/>
    <w:rsid w:val="00A1721F"/>
    <w:rsid w:val="00A22FA8"/>
    <w:rsid w:val="00A350A4"/>
    <w:rsid w:val="00A36DBE"/>
    <w:rsid w:val="00A36F1C"/>
    <w:rsid w:val="00A4147B"/>
    <w:rsid w:val="00A43688"/>
    <w:rsid w:val="00A5089A"/>
    <w:rsid w:val="00A52BB3"/>
    <w:rsid w:val="00A5709F"/>
    <w:rsid w:val="00A57145"/>
    <w:rsid w:val="00A577B3"/>
    <w:rsid w:val="00A6394C"/>
    <w:rsid w:val="00A63EEE"/>
    <w:rsid w:val="00A662F1"/>
    <w:rsid w:val="00A671B0"/>
    <w:rsid w:val="00A75684"/>
    <w:rsid w:val="00A777DA"/>
    <w:rsid w:val="00A8110F"/>
    <w:rsid w:val="00A9279C"/>
    <w:rsid w:val="00AA163A"/>
    <w:rsid w:val="00AA6706"/>
    <w:rsid w:val="00AB44B7"/>
    <w:rsid w:val="00AC7635"/>
    <w:rsid w:val="00AC78F6"/>
    <w:rsid w:val="00AD1387"/>
    <w:rsid w:val="00AD39FE"/>
    <w:rsid w:val="00AE2524"/>
    <w:rsid w:val="00AE693C"/>
    <w:rsid w:val="00B049AE"/>
    <w:rsid w:val="00B10DB8"/>
    <w:rsid w:val="00B10E81"/>
    <w:rsid w:val="00B122E5"/>
    <w:rsid w:val="00B15F7B"/>
    <w:rsid w:val="00B20B91"/>
    <w:rsid w:val="00B273F5"/>
    <w:rsid w:val="00B3323E"/>
    <w:rsid w:val="00B37300"/>
    <w:rsid w:val="00B40241"/>
    <w:rsid w:val="00B416EC"/>
    <w:rsid w:val="00B42FF2"/>
    <w:rsid w:val="00B47942"/>
    <w:rsid w:val="00B5744A"/>
    <w:rsid w:val="00B61719"/>
    <w:rsid w:val="00B61F58"/>
    <w:rsid w:val="00B64251"/>
    <w:rsid w:val="00B658E8"/>
    <w:rsid w:val="00B66D7E"/>
    <w:rsid w:val="00B70A0E"/>
    <w:rsid w:val="00B71BA8"/>
    <w:rsid w:val="00B80D9A"/>
    <w:rsid w:val="00B8355A"/>
    <w:rsid w:val="00B950C9"/>
    <w:rsid w:val="00B97A3C"/>
    <w:rsid w:val="00BA4C87"/>
    <w:rsid w:val="00BA5016"/>
    <w:rsid w:val="00BA7503"/>
    <w:rsid w:val="00BB0370"/>
    <w:rsid w:val="00BB0D95"/>
    <w:rsid w:val="00BB53A2"/>
    <w:rsid w:val="00BC4306"/>
    <w:rsid w:val="00BC699C"/>
    <w:rsid w:val="00BD2E43"/>
    <w:rsid w:val="00BD4F57"/>
    <w:rsid w:val="00BD66CA"/>
    <w:rsid w:val="00BD6D4E"/>
    <w:rsid w:val="00BE227D"/>
    <w:rsid w:val="00BE3D7F"/>
    <w:rsid w:val="00BE5516"/>
    <w:rsid w:val="00BF1B78"/>
    <w:rsid w:val="00BF647C"/>
    <w:rsid w:val="00C02671"/>
    <w:rsid w:val="00C02F61"/>
    <w:rsid w:val="00C03975"/>
    <w:rsid w:val="00C05219"/>
    <w:rsid w:val="00C104B8"/>
    <w:rsid w:val="00C16BE2"/>
    <w:rsid w:val="00C37EA7"/>
    <w:rsid w:val="00C4250F"/>
    <w:rsid w:val="00C45F09"/>
    <w:rsid w:val="00C470AE"/>
    <w:rsid w:val="00C479EC"/>
    <w:rsid w:val="00C54A25"/>
    <w:rsid w:val="00C55972"/>
    <w:rsid w:val="00C71AE4"/>
    <w:rsid w:val="00C72879"/>
    <w:rsid w:val="00C7562F"/>
    <w:rsid w:val="00C75A9A"/>
    <w:rsid w:val="00C75C22"/>
    <w:rsid w:val="00C84718"/>
    <w:rsid w:val="00CB3648"/>
    <w:rsid w:val="00CB45E2"/>
    <w:rsid w:val="00CB46B4"/>
    <w:rsid w:val="00CC34EF"/>
    <w:rsid w:val="00CD0962"/>
    <w:rsid w:val="00CD3C4C"/>
    <w:rsid w:val="00CD6D1C"/>
    <w:rsid w:val="00CE119D"/>
    <w:rsid w:val="00CF0594"/>
    <w:rsid w:val="00CF71F5"/>
    <w:rsid w:val="00D0226F"/>
    <w:rsid w:val="00D066B9"/>
    <w:rsid w:val="00D1349D"/>
    <w:rsid w:val="00D26180"/>
    <w:rsid w:val="00D44B05"/>
    <w:rsid w:val="00D46818"/>
    <w:rsid w:val="00D50ACD"/>
    <w:rsid w:val="00D6009D"/>
    <w:rsid w:val="00D836CB"/>
    <w:rsid w:val="00D86363"/>
    <w:rsid w:val="00D93D2F"/>
    <w:rsid w:val="00DC293D"/>
    <w:rsid w:val="00DC7D9F"/>
    <w:rsid w:val="00DD6160"/>
    <w:rsid w:val="00DD6F2A"/>
    <w:rsid w:val="00DE1349"/>
    <w:rsid w:val="00DE2530"/>
    <w:rsid w:val="00DE39C1"/>
    <w:rsid w:val="00DE4BE4"/>
    <w:rsid w:val="00DE7115"/>
    <w:rsid w:val="00DE72C7"/>
    <w:rsid w:val="00DF396A"/>
    <w:rsid w:val="00E01B08"/>
    <w:rsid w:val="00E076F3"/>
    <w:rsid w:val="00E14F39"/>
    <w:rsid w:val="00E2330F"/>
    <w:rsid w:val="00E318FE"/>
    <w:rsid w:val="00E4292E"/>
    <w:rsid w:val="00E43898"/>
    <w:rsid w:val="00E5417B"/>
    <w:rsid w:val="00E618EB"/>
    <w:rsid w:val="00E62B91"/>
    <w:rsid w:val="00E7137D"/>
    <w:rsid w:val="00E75379"/>
    <w:rsid w:val="00E77144"/>
    <w:rsid w:val="00E800DB"/>
    <w:rsid w:val="00E84F62"/>
    <w:rsid w:val="00E87B99"/>
    <w:rsid w:val="00E91731"/>
    <w:rsid w:val="00E9472A"/>
    <w:rsid w:val="00EA1653"/>
    <w:rsid w:val="00EA3B12"/>
    <w:rsid w:val="00EA3D53"/>
    <w:rsid w:val="00EA5F3D"/>
    <w:rsid w:val="00EB687F"/>
    <w:rsid w:val="00EC40EB"/>
    <w:rsid w:val="00ED001C"/>
    <w:rsid w:val="00ED76AA"/>
    <w:rsid w:val="00EE21A6"/>
    <w:rsid w:val="00EE3E27"/>
    <w:rsid w:val="00EE5051"/>
    <w:rsid w:val="00EF6AD6"/>
    <w:rsid w:val="00F06554"/>
    <w:rsid w:val="00F13A15"/>
    <w:rsid w:val="00F146C9"/>
    <w:rsid w:val="00F16858"/>
    <w:rsid w:val="00F25C78"/>
    <w:rsid w:val="00F30D0D"/>
    <w:rsid w:val="00F32733"/>
    <w:rsid w:val="00F3501C"/>
    <w:rsid w:val="00F361AB"/>
    <w:rsid w:val="00F363C2"/>
    <w:rsid w:val="00F3726A"/>
    <w:rsid w:val="00F40025"/>
    <w:rsid w:val="00F41452"/>
    <w:rsid w:val="00F4605B"/>
    <w:rsid w:val="00F475CD"/>
    <w:rsid w:val="00F5019B"/>
    <w:rsid w:val="00F54024"/>
    <w:rsid w:val="00F61504"/>
    <w:rsid w:val="00F66EE5"/>
    <w:rsid w:val="00F6740B"/>
    <w:rsid w:val="00F739CB"/>
    <w:rsid w:val="00F74E01"/>
    <w:rsid w:val="00F80D5E"/>
    <w:rsid w:val="00F83CEF"/>
    <w:rsid w:val="00F908D5"/>
    <w:rsid w:val="00F97440"/>
    <w:rsid w:val="00FA1304"/>
    <w:rsid w:val="00FA38AF"/>
    <w:rsid w:val="00FB235A"/>
    <w:rsid w:val="00FB3602"/>
    <w:rsid w:val="00FB5439"/>
    <w:rsid w:val="00FC6098"/>
    <w:rsid w:val="00FD4A82"/>
    <w:rsid w:val="00FD4B99"/>
    <w:rsid w:val="00FE2AAB"/>
    <w:rsid w:val="00FE4E09"/>
    <w:rsid w:val="00FE765E"/>
    <w:rsid w:val="00FF1A4C"/>
    <w:rsid w:val="00FF1E21"/>
    <w:rsid w:val="00FF6D5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2456">
      <w:bodyDiv w:val="1"/>
      <w:marLeft w:val="0"/>
      <w:marRight w:val="0"/>
      <w:marTop w:val="0"/>
      <w:marBottom w:val="0"/>
      <w:divBdr>
        <w:top w:val="none" w:sz="0" w:space="0" w:color="auto"/>
        <w:left w:val="none" w:sz="0" w:space="0" w:color="auto"/>
        <w:bottom w:val="none" w:sz="0" w:space="0" w:color="auto"/>
        <w:right w:val="none" w:sz="0" w:space="0" w:color="auto"/>
      </w:divBdr>
    </w:div>
    <w:div w:id="115873477">
      <w:bodyDiv w:val="1"/>
      <w:marLeft w:val="0"/>
      <w:marRight w:val="0"/>
      <w:marTop w:val="0"/>
      <w:marBottom w:val="0"/>
      <w:divBdr>
        <w:top w:val="none" w:sz="0" w:space="0" w:color="auto"/>
        <w:left w:val="none" w:sz="0" w:space="0" w:color="auto"/>
        <w:bottom w:val="none" w:sz="0" w:space="0" w:color="auto"/>
        <w:right w:val="none" w:sz="0" w:space="0" w:color="auto"/>
      </w:divBdr>
    </w:div>
    <w:div w:id="174272017">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311906091">
      <w:bodyDiv w:val="1"/>
      <w:marLeft w:val="0"/>
      <w:marRight w:val="0"/>
      <w:marTop w:val="0"/>
      <w:marBottom w:val="0"/>
      <w:divBdr>
        <w:top w:val="none" w:sz="0" w:space="0" w:color="auto"/>
        <w:left w:val="none" w:sz="0" w:space="0" w:color="auto"/>
        <w:bottom w:val="none" w:sz="0" w:space="0" w:color="auto"/>
        <w:right w:val="none" w:sz="0" w:space="0" w:color="auto"/>
      </w:divBdr>
    </w:div>
    <w:div w:id="324237543">
      <w:bodyDiv w:val="1"/>
      <w:marLeft w:val="0"/>
      <w:marRight w:val="0"/>
      <w:marTop w:val="0"/>
      <w:marBottom w:val="0"/>
      <w:divBdr>
        <w:top w:val="none" w:sz="0" w:space="0" w:color="auto"/>
        <w:left w:val="none" w:sz="0" w:space="0" w:color="auto"/>
        <w:bottom w:val="none" w:sz="0" w:space="0" w:color="auto"/>
        <w:right w:val="none" w:sz="0" w:space="0" w:color="auto"/>
      </w:divBdr>
    </w:div>
    <w:div w:id="448282486">
      <w:bodyDiv w:val="1"/>
      <w:marLeft w:val="0"/>
      <w:marRight w:val="0"/>
      <w:marTop w:val="0"/>
      <w:marBottom w:val="0"/>
      <w:divBdr>
        <w:top w:val="none" w:sz="0" w:space="0" w:color="auto"/>
        <w:left w:val="none" w:sz="0" w:space="0" w:color="auto"/>
        <w:bottom w:val="none" w:sz="0" w:space="0" w:color="auto"/>
        <w:right w:val="none" w:sz="0" w:space="0" w:color="auto"/>
      </w:divBdr>
    </w:div>
    <w:div w:id="561020434">
      <w:bodyDiv w:val="1"/>
      <w:marLeft w:val="0"/>
      <w:marRight w:val="0"/>
      <w:marTop w:val="0"/>
      <w:marBottom w:val="0"/>
      <w:divBdr>
        <w:top w:val="none" w:sz="0" w:space="0" w:color="auto"/>
        <w:left w:val="none" w:sz="0" w:space="0" w:color="auto"/>
        <w:bottom w:val="none" w:sz="0" w:space="0" w:color="auto"/>
        <w:right w:val="none" w:sz="0" w:space="0" w:color="auto"/>
      </w:divBdr>
    </w:div>
    <w:div w:id="566375772">
      <w:bodyDiv w:val="1"/>
      <w:marLeft w:val="0"/>
      <w:marRight w:val="0"/>
      <w:marTop w:val="0"/>
      <w:marBottom w:val="0"/>
      <w:divBdr>
        <w:top w:val="none" w:sz="0" w:space="0" w:color="auto"/>
        <w:left w:val="none" w:sz="0" w:space="0" w:color="auto"/>
        <w:bottom w:val="none" w:sz="0" w:space="0" w:color="auto"/>
        <w:right w:val="none" w:sz="0" w:space="0" w:color="auto"/>
      </w:divBdr>
    </w:div>
    <w:div w:id="627661683">
      <w:bodyDiv w:val="1"/>
      <w:marLeft w:val="0"/>
      <w:marRight w:val="0"/>
      <w:marTop w:val="0"/>
      <w:marBottom w:val="0"/>
      <w:divBdr>
        <w:top w:val="none" w:sz="0" w:space="0" w:color="auto"/>
        <w:left w:val="none" w:sz="0" w:space="0" w:color="auto"/>
        <w:bottom w:val="none" w:sz="0" w:space="0" w:color="auto"/>
        <w:right w:val="none" w:sz="0" w:space="0" w:color="auto"/>
      </w:divBdr>
    </w:div>
    <w:div w:id="691228103">
      <w:bodyDiv w:val="1"/>
      <w:marLeft w:val="0"/>
      <w:marRight w:val="0"/>
      <w:marTop w:val="0"/>
      <w:marBottom w:val="0"/>
      <w:divBdr>
        <w:top w:val="none" w:sz="0" w:space="0" w:color="auto"/>
        <w:left w:val="none" w:sz="0" w:space="0" w:color="auto"/>
        <w:bottom w:val="none" w:sz="0" w:space="0" w:color="auto"/>
        <w:right w:val="none" w:sz="0" w:space="0" w:color="auto"/>
      </w:divBdr>
    </w:div>
    <w:div w:id="693267076">
      <w:bodyDiv w:val="1"/>
      <w:marLeft w:val="0"/>
      <w:marRight w:val="0"/>
      <w:marTop w:val="0"/>
      <w:marBottom w:val="0"/>
      <w:divBdr>
        <w:top w:val="none" w:sz="0" w:space="0" w:color="auto"/>
        <w:left w:val="none" w:sz="0" w:space="0" w:color="auto"/>
        <w:bottom w:val="none" w:sz="0" w:space="0" w:color="auto"/>
        <w:right w:val="none" w:sz="0" w:space="0" w:color="auto"/>
      </w:divBdr>
    </w:div>
    <w:div w:id="780496930">
      <w:bodyDiv w:val="1"/>
      <w:marLeft w:val="0"/>
      <w:marRight w:val="0"/>
      <w:marTop w:val="0"/>
      <w:marBottom w:val="0"/>
      <w:divBdr>
        <w:top w:val="none" w:sz="0" w:space="0" w:color="auto"/>
        <w:left w:val="none" w:sz="0" w:space="0" w:color="auto"/>
        <w:bottom w:val="none" w:sz="0" w:space="0" w:color="auto"/>
        <w:right w:val="none" w:sz="0" w:space="0" w:color="auto"/>
      </w:divBdr>
    </w:div>
    <w:div w:id="849417213">
      <w:bodyDiv w:val="1"/>
      <w:marLeft w:val="0"/>
      <w:marRight w:val="0"/>
      <w:marTop w:val="0"/>
      <w:marBottom w:val="0"/>
      <w:divBdr>
        <w:top w:val="none" w:sz="0" w:space="0" w:color="auto"/>
        <w:left w:val="none" w:sz="0" w:space="0" w:color="auto"/>
        <w:bottom w:val="none" w:sz="0" w:space="0" w:color="auto"/>
        <w:right w:val="none" w:sz="0" w:space="0" w:color="auto"/>
      </w:divBdr>
    </w:div>
    <w:div w:id="861744006">
      <w:bodyDiv w:val="1"/>
      <w:marLeft w:val="0"/>
      <w:marRight w:val="0"/>
      <w:marTop w:val="0"/>
      <w:marBottom w:val="0"/>
      <w:divBdr>
        <w:top w:val="none" w:sz="0" w:space="0" w:color="auto"/>
        <w:left w:val="none" w:sz="0" w:space="0" w:color="auto"/>
        <w:bottom w:val="none" w:sz="0" w:space="0" w:color="auto"/>
        <w:right w:val="none" w:sz="0" w:space="0" w:color="auto"/>
      </w:divBdr>
    </w:div>
    <w:div w:id="1003046920">
      <w:bodyDiv w:val="1"/>
      <w:marLeft w:val="0"/>
      <w:marRight w:val="0"/>
      <w:marTop w:val="0"/>
      <w:marBottom w:val="0"/>
      <w:divBdr>
        <w:top w:val="none" w:sz="0" w:space="0" w:color="auto"/>
        <w:left w:val="none" w:sz="0" w:space="0" w:color="auto"/>
        <w:bottom w:val="none" w:sz="0" w:space="0" w:color="auto"/>
        <w:right w:val="none" w:sz="0" w:space="0" w:color="auto"/>
      </w:divBdr>
    </w:div>
    <w:div w:id="1039206605">
      <w:bodyDiv w:val="1"/>
      <w:marLeft w:val="0"/>
      <w:marRight w:val="0"/>
      <w:marTop w:val="0"/>
      <w:marBottom w:val="0"/>
      <w:divBdr>
        <w:top w:val="none" w:sz="0" w:space="0" w:color="auto"/>
        <w:left w:val="none" w:sz="0" w:space="0" w:color="auto"/>
        <w:bottom w:val="none" w:sz="0" w:space="0" w:color="auto"/>
        <w:right w:val="none" w:sz="0" w:space="0" w:color="auto"/>
      </w:divBdr>
    </w:div>
    <w:div w:id="1044326010">
      <w:bodyDiv w:val="1"/>
      <w:marLeft w:val="0"/>
      <w:marRight w:val="0"/>
      <w:marTop w:val="0"/>
      <w:marBottom w:val="0"/>
      <w:divBdr>
        <w:top w:val="none" w:sz="0" w:space="0" w:color="auto"/>
        <w:left w:val="none" w:sz="0" w:space="0" w:color="auto"/>
        <w:bottom w:val="none" w:sz="0" w:space="0" w:color="auto"/>
        <w:right w:val="none" w:sz="0" w:space="0" w:color="auto"/>
      </w:divBdr>
    </w:div>
    <w:div w:id="1077705691">
      <w:bodyDiv w:val="1"/>
      <w:marLeft w:val="0"/>
      <w:marRight w:val="0"/>
      <w:marTop w:val="0"/>
      <w:marBottom w:val="0"/>
      <w:divBdr>
        <w:top w:val="none" w:sz="0" w:space="0" w:color="auto"/>
        <w:left w:val="none" w:sz="0" w:space="0" w:color="auto"/>
        <w:bottom w:val="none" w:sz="0" w:space="0" w:color="auto"/>
        <w:right w:val="none" w:sz="0" w:space="0" w:color="auto"/>
      </w:divBdr>
    </w:div>
    <w:div w:id="1174224162">
      <w:bodyDiv w:val="1"/>
      <w:marLeft w:val="0"/>
      <w:marRight w:val="0"/>
      <w:marTop w:val="0"/>
      <w:marBottom w:val="0"/>
      <w:divBdr>
        <w:top w:val="none" w:sz="0" w:space="0" w:color="auto"/>
        <w:left w:val="none" w:sz="0" w:space="0" w:color="auto"/>
        <w:bottom w:val="none" w:sz="0" w:space="0" w:color="auto"/>
        <w:right w:val="none" w:sz="0" w:space="0" w:color="auto"/>
      </w:divBdr>
    </w:div>
    <w:div w:id="1197696124">
      <w:bodyDiv w:val="1"/>
      <w:marLeft w:val="0"/>
      <w:marRight w:val="0"/>
      <w:marTop w:val="0"/>
      <w:marBottom w:val="0"/>
      <w:divBdr>
        <w:top w:val="none" w:sz="0" w:space="0" w:color="auto"/>
        <w:left w:val="none" w:sz="0" w:space="0" w:color="auto"/>
        <w:bottom w:val="none" w:sz="0" w:space="0" w:color="auto"/>
        <w:right w:val="none" w:sz="0" w:space="0" w:color="auto"/>
      </w:divBdr>
    </w:div>
    <w:div w:id="1302148817">
      <w:bodyDiv w:val="1"/>
      <w:marLeft w:val="0"/>
      <w:marRight w:val="0"/>
      <w:marTop w:val="0"/>
      <w:marBottom w:val="0"/>
      <w:divBdr>
        <w:top w:val="none" w:sz="0" w:space="0" w:color="auto"/>
        <w:left w:val="none" w:sz="0" w:space="0" w:color="auto"/>
        <w:bottom w:val="none" w:sz="0" w:space="0" w:color="auto"/>
        <w:right w:val="none" w:sz="0" w:space="0" w:color="auto"/>
      </w:divBdr>
    </w:div>
    <w:div w:id="1528636623">
      <w:bodyDiv w:val="1"/>
      <w:marLeft w:val="0"/>
      <w:marRight w:val="0"/>
      <w:marTop w:val="0"/>
      <w:marBottom w:val="0"/>
      <w:divBdr>
        <w:top w:val="none" w:sz="0" w:space="0" w:color="auto"/>
        <w:left w:val="none" w:sz="0" w:space="0" w:color="auto"/>
        <w:bottom w:val="none" w:sz="0" w:space="0" w:color="auto"/>
        <w:right w:val="none" w:sz="0" w:space="0" w:color="auto"/>
      </w:divBdr>
    </w:div>
    <w:div w:id="1648631943">
      <w:bodyDiv w:val="1"/>
      <w:marLeft w:val="0"/>
      <w:marRight w:val="0"/>
      <w:marTop w:val="0"/>
      <w:marBottom w:val="0"/>
      <w:divBdr>
        <w:top w:val="none" w:sz="0" w:space="0" w:color="auto"/>
        <w:left w:val="none" w:sz="0" w:space="0" w:color="auto"/>
        <w:bottom w:val="none" w:sz="0" w:space="0" w:color="auto"/>
        <w:right w:val="none" w:sz="0" w:space="0" w:color="auto"/>
      </w:divBdr>
    </w:div>
    <w:div w:id="1652364549">
      <w:bodyDiv w:val="1"/>
      <w:marLeft w:val="0"/>
      <w:marRight w:val="0"/>
      <w:marTop w:val="0"/>
      <w:marBottom w:val="0"/>
      <w:divBdr>
        <w:top w:val="none" w:sz="0" w:space="0" w:color="auto"/>
        <w:left w:val="none" w:sz="0" w:space="0" w:color="auto"/>
        <w:bottom w:val="none" w:sz="0" w:space="0" w:color="auto"/>
        <w:right w:val="none" w:sz="0" w:space="0" w:color="auto"/>
      </w:divBdr>
    </w:div>
    <w:div w:id="1685159219">
      <w:bodyDiv w:val="1"/>
      <w:marLeft w:val="0"/>
      <w:marRight w:val="0"/>
      <w:marTop w:val="0"/>
      <w:marBottom w:val="0"/>
      <w:divBdr>
        <w:top w:val="none" w:sz="0" w:space="0" w:color="auto"/>
        <w:left w:val="none" w:sz="0" w:space="0" w:color="auto"/>
        <w:bottom w:val="none" w:sz="0" w:space="0" w:color="auto"/>
        <w:right w:val="none" w:sz="0" w:space="0" w:color="auto"/>
      </w:divBdr>
    </w:div>
    <w:div w:id="1732000078">
      <w:bodyDiv w:val="1"/>
      <w:marLeft w:val="0"/>
      <w:marRight w:val="0"/>
      <w:marTop w:val="0"/>
      <w:marBottom w:val="0"/>
      <w:divBdr>
        <w:top w:val="none" w:sz="0" w:space="0" w:color="auto"/>
        <w:left w:val="none" w:sz="0" w:space="0" w:color="auto"/>
        <w:bottom w:val="none" w:sz="0" w:space="0" w:color="auto"/>
        <w:right w:val="none" w:sz="0" w:space="0" w:color="auto"/>
      </w:divBdr>
    </w:div>
    <w:div w:id="1784303191">
      <w:bodyDiv w:val="1"/>
      <w:marLeft w:val="0"/>
      <w:marRight w:val="0"/>
      <w:marTop w:val="0"/>
      <w:marBottom w:val="0"/>
      <w:divBdr>
        <w:top w:val="none" w:sz="0" w:space="0" w:color="auto"/>
        <w:left w:val="none" w:sz="0" w:space="0" w:color="auto"/>
        <w:bottom w:val="none" w:sz="0" w:space="0" w:color="auto"/>
        <w:right w:val="none" w:sz="0" w:space="0" w:color="auto"/>
      </w:divBdr>
    </w:div>
    <w:div w:id="1823934317">
      <w:bodyDiv w:val="1"/>
      <w:marLeft w:val="0"/>
      <w:marRight w:val="0"/>
      <w:marTop w:val="0"/>
      <w:marBottom w:val="0"/>
      <w:divBdr>
        <w:top w:val="none" w:sz="0" w:space="0" w:color="auto"/>
        <w:left w:val="none" w:sz="0" w:space="0" w:color="auto"/>
        <w:bottom w:val="none" w:sz="0" w:space="0" w:color="auto"/>
        <w:right w:val="none" w:sz="0" w:space="0" w:color="auto"/>
      </w:divBdr>
    </w:div>
    <w:div w:id="1898927997">
      <w:bodyDiv w:val="1"/>
      <w:marLeft w:val="0"/>
      <w:marRight w:val="0"/>
      <w:marTop w:val="0"/>
      <w:marBottom w:val="0"/>
      <w:divBdr>
        <w:top w:val="none" w:sz="0" w:space="0" w:color="auto"/>
        <w:left w:val="none" w:sz="0" w:space="0" w:color="auto"/>
        <w:bottom w:val="none" w:sz="0" w:space="0" w:color="auto"/>
        <w:right w:val="none" w:sz="0" w:space="0" w:color="auto"/>
      </w:divBdr>
    </w:div>
    <w:div w:id="1988700238">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 w:id="2031032687">
      <w:bodyDiv w:val="1"/>
      <w:marLeft w:val="0"/>
      <w:marRight w:val="0"/>
      <w:marTop w:val="0"/>
      <w:marBottom w:val="0"/>
      <w:divBdr>
        <w:top w:val="none" w:sz="0" w:space="0" w:color="auto"/>
        <w:left w:val="none" w:sz="0" w:space="0" w:color="auto"/>
        <w:bottom w:val="none" w:sz="0" w:space="0" w:color="auto"/>
        <w:right w:val="none" w:sz="0" w:space="0" w:color="auto"/>
      </w:divBdr>
    </w:div>
    <w:div w:id="2061901061">
      <w:bodyDiv w:val="1"/>
      <w:marLeft w:val="0"/>
      <w:marRight w:val="0"/>
      <w:marTop w:val="0"/>
      <w:marBottom w:val="0"/>
      <w:divBdr>
        <w:top w:val="none" w:sz="0" w:space="0" w:color="auto"/>
        <w:left w:val="none" w:sz="0" w:space="0" w:color="auto"/>
        <w:bottom w:val="none" w:sz="0" w:space="0" w:color="auto"/>
        <w:right w:val="none" w:sz="0" w:space="0" w:color="auto"/>
      </w:divBdr>
    </w:div>
    <w:div w:id="21347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en/documentation/classifications/version/?verId=%202113" TargetMode="External"/><Relationship Id="rId18" Type="http://schemas.openxmlformats.org/officeDocument/2006/relationships/hyperlink" Target="http://www.instat.gov.al/al/rreth-nesh/k&#235;rko-t&#235;-dh&#235;na/k&#235;rkes&#235;-t&#235;-dh&#235;nash-formular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tat.gov.al/al/publikime/librat/" TargetMode="External"/><Relationship Id="rId7" Type="http://schemas.openxmlformats.org/officeDocument/2006/relationships/footnotes" Target="footnotes.xml"/><Relationship Id="rId12" Type="http://schemas.openxmlformats.org/officeDocument/2006/relationships/hyperlink" Target="http://www.instat.gov.al/media/1841/nomenklatura_e_produkteve_sipas_aktiviteteve.pdf" TargetMode="External"/><Relationship Id="rId17" Type="http://schemas.openxmlformats.org/officeDocument/2006/relationships/hyperlink" Target="mailto:info@instat.gov.al" TargetMode="External"/><Relationship Id="rId25" Type="http://schemas.openxmlformats.org/officeDocument/2006/relationships/hyperlink" Target="http://www.instat.gov.al/al/dokumentimi/cil%C3%ABsia-statistikore/anketa-mbi-k%C3%ABnaq%C3%ABsin%C3%AB-e-p%C3%ABrdoruesve/" TargetMode="External"/><Relationship Id="rId2" Type="http://schemas.openxmlformats.org/officeDocument/2006/relationships/numbering" Target="numbering.xml"/><Relationship Id="rId16" Type="http://schemas.openxmlformats.org/officeDocument/2006/relationships/hyperlink" Target="http://www.instat.gov.al/al/publikime/kalendari/" TargetMode="External"/><Relationship Id="rId20" Type="http://schemas.openxmlformats.org/officeDocument/2006/relationships/hyperlink" Target="http://www.instat.gov.al/al/temat/industria-tregtia-dhe-sh%C3%ABrbimet/statistikat-strukturore-t%C3%AB-nd%C3%ABrmarrjeve-ekonomik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1839/nve_rev11.pdf" TargetMode="External"/><Relationship Id="rId24" Type="http://schemas.openxmlformats.org/officeDocument/2006/relationships/hyperlink" Target="http://www.instat.gov.al/al/temat/industria-tregtia-dhe-sh%C3%ABrbimet/statistikat-strukturore-t%C3%AB-nd%C3%ABrmarrjeve-ekonomike/" TargetMode="External"/><Relationship Id="rId5" Type="http://schemas.openxmlformats.org/officeDocument/2006/relationships/settings" Target="settings.xml"/><Relationship Id="rId15" Type="http://schemas.openxmlformats.org/officeDocument/2006/relationships/hyperlink" Target="http://www.instat.gov.al/media/3594/psz-2017-2021.pdf" TargetMode="External"/><Relationship Id="rId23" Type="http://schemas.openxmlformats.org/officeDocument/2006/relationships/hyperlink" Target="http://www.instat.gov.al/al/rreth-nesh/k%C3%ABrko-t%C3%AB-dh%C3%ABna/" TargetMode="External"/><Relationship Id="rId28" Type="http://schemas.openxmlformats.org/officeDocument/2006/relationships/theme" Target="theme/theme1.xml"/><Relationship Id="rId10" Type="http://schemas.openxmlformats.org/officeDocument/2006/relationships/hyperlink" Target="http://www.instat.gov.al/media/1838/nve.pdf" TargetMode="External"/><Relationship Id="rId19" Type="http://schemas.openxmlformats.org/officeDocument/2006/relationships/hyperlink" Target="http://www.instat.gov.al/al/temat/industria-tregtia-dhe-sh&#235;rbimet/statistikat-strukturore-t&#235;-nd&#235;rmarrjeve-ekonomike/" TargetMode="External"/><Relationship Id="rId4" Type="http://schemas.microsoft.com/office/2007/relationships/stylesWithEffects" Target="stylesWithEffects.xml"/><Relationship Id="rId9" Type="http://schemas.openxmlformats.org/officeDocument/2006/relationships/hyperlink" Target="mailto:epalushi@instat.gov.al" TargetMode="External"/><Relationship Id="rId14" Type="http://schemas.openxmlformats.org/officeDocument/2006/relationships/hyperlink" Target="http://www.instat.gov.al/media/3973/ligj-nr-17-dt-542018_per-statistikat-zyrtare.pdf" TargetMode="External"/><Relationship Id="rId22" Type="http://schemas.openxmlformats.org/officeDocument/2006/relationships/hyperlink" Target="http://databaza.instat.gov.al/pxweb/sq/DS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F53C-955C-49EE-8189-3DF03C9E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5769</Words>
  <Characters>32885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Elona Berberi</cp:lastModifiedBy>
  <cp:revision>31</cp:revision>
  <cp:lastPrinted>2016-09-01T07:29:00Z</cp:lastPrinted>
  <dcterms:created xsi:type="dcterms:W3CDTF">2021-02-16T08:04:00Z</dcterms:created>
  <dcterms:modified xsi:type="dcterms:W3CDTF">2021-02-16T11:51:00Z</dcterms:modified>
</cp:coreProperties>
</file>