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620"/>
        <w:gridCol w:w="2070"/>
        <w:gridCol w:w="1620"/>
        <w:gridCol w:w="1213"/>
      </w:tblGrid>
      <w:tr w:rsidR="00F81D9C" w:rsidRPr="005114E4" w:rsidTr="00562BE3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07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0C6FFE" w:rsidRPr="005114E4" w:rsidTr="00C55537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02-May-24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Lindjet, Vdekjet dhe Martesat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07/05/2024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02-May-24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Turizmi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03/05/2024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02-May-24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Turizmi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03/05/2024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02-May-24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02/05/2024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02-May-24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02/05/2024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03-May-24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03/05/2024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06-May-24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Punësimi dhe papunësia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15/05/2024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07-May-24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Regjistri Statistikor i Ndërmarrjeve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15/05/2024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07-May-24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Turizmi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15/05/2024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08-May-24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Popullsia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13/05/2024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10-May-24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Popullsia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23/05/2024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14-May-24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Pagat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15/05/2024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14-May-24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Popullsia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16/05/2024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14-May-24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14/05/2024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14-May-24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14/05/2024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FB5B64" w:rsidRDefault="000C6FFE" w:rsidP="000C6FF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15-May-24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22/04/2024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5B1229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15-May-24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Punësimi dhe papunësia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24/05/2024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5B1229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15-May-24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15/05/2024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C513F8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16-May-24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</w:t>
            </w:r>
            <w:r w:rsidR="00FB3898">
              <w:t>0</w:t>
            </w:r>
            <w:bookmarkStart w:id="0" w:name="_GoBack"/>
            <w:bookmarkEnd w:id="0"/>
            <w:r w:rsidRPr="00BF7BA2">
              <w:t>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16-May-24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16/05/2024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17-May-24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19/05/2024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21-May-24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22/05/2024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4668B1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21-May-24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22/05/2024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4668B1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22-May-24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Turizmi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27/05/2024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22-May-24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22/05/2024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668B1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22-May-24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22/05/2024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22-May-24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22/05/2024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23-May-24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Ndërtimi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28/05/2024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C55537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756305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69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24-May-24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Popullsia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24/05/2024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24-May-24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27/05/2024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24-May-24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27/05/2024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27-May-24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Statistikat Strukturore të Ndërmarrjeve Ekonomike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30/05/2024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27-May-24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Turizmi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28/05/2024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27-May-24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04/06/2024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511D11" w:rsidRDefault="000C6FFE" w:rsidP="000C6FFE">
            <w:pPr>
              <w:jc w:val="center"/>
              <w:rPr>
                <w:highlight w:val="yellow"/>
              </w:rPr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28-May-24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Kultura dhe Sporti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11/06/2024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511D11" w:rsidRDefault="000C6FFE" w:rsidP="000C6FFE">
            <w:pPr>
              <w:jc w:val="center"/>
              <w:rPr>
                <w:sz w:val="20"/>
                <w:szCs w:val="20"/>
                <w:highlight w:val="yellow"/>
                <w:lang w:eastAsia="ja-JP"/>
              </w:rPr>
            </w:pPr>
          </w:p>
          <w:p w:rsidR="000C6FFE" w:rsidRPr="00511D11" w:rsidRDefault="000C6FFE" w:rsidP="000C6FFE">
            <w:pPr>
              <w:jc w:val="center"/>
              <w:rPr>
                <w:sz w:val="20"/>
                <w:szCs w:val="20"/>
                <w:highlight w:val="yellow"/>
                <w:lang w:eastAsia="ja-JP"/>
              </w:rPr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  <w:p w:rsidR="000C6FFE" w:rsidRPr="00511D11" w:rsidRDefault="000C6FFE" w:rsidP="000C6FFE">
            <w:pPr>
              <w:jc w:val="center"/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28-May-24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27/05/2024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334EA2" w:rsidRDefault="00C55537" w:rsidP="000C6FFE">
            <w:pPr>
              <w:pStyle w:val="NoSpacing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756305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28-May-24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27/05/2024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28-May-24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27/05/2024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28-May-24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Turizmi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28/05/2024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756305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29-May-24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Ndërtimi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10/06/2024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C55537" w:rsidP="00C55537">
            <w:pPr>
              <w:jc w:val="center"/>
            </w:pPr>
            <w:r w:rsidRPr="00756305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29-May-24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Anketa e Matjes së Nivelit të Jetesës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10/06/2024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B6558F" w:rsidRDefault="000C6FFE" w:rsidP="000C6FFE">
            <w:pPr>
              <w:jc w:val="center"/>
              <w:rPr>
                <w:color w:val="FF0000"/>
                <w:sz w:val="20"/>
                <w:szCs w:val="20"/>
                <w:highlight w:val="yellow"/>
                <w:lang w:eastAsia="ja-JP"/>
              </w:rPr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29-May-24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Popullsia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07/06/2024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30-May-24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Turizmi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06/06/2024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30-May-24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Turizmi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30/05/2024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31-May-24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Pr="00367C29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31/05/2024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1223AC" w:rsidRDefault="000C6FFE" w:rsidP="000C6FFE">
            <w:pPr>
              <w:jc w:val="center"/>
              <w:rPr>
                <w:color w:val="FF0000"/>
                <w:sz w:val="20"/>
                <w:szCs w:val="20"/>
                <w:highlight w:val="yellow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C6FFE" w:rsidRPr="005114E4" w:rsidTr="00C55537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0C6FFE" w:rsidRDefault="000C6FFE" w:rsidP="000C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</w:tcPr>
          <w:p w:rsidR="000C6FFE" w:rsidRPr="00D8659B" w:rsidRDefault="000C6FFE" w:rsidP="000C6FFE">
            <w:r w:rsidRPr="00D8659B">
              <w:t>31-May-24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6FFE" w:rsidRDefault="000C6FFE" w:rsidP="00C55537">
            <w:pPr>
              <w:jc w:val="center"/>
            </w:pPr>
            <w:r w:rsidRPr="00367C29"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BF7BA2" w:rsidRDefault="000C6FFE" w:rsidP="000C6FFE">
            <w:pPr>
              <w:jc w:val="center"/>
            </w:pPr>
            <w:r w:rsidRPr="00BF7BA2">
              <w:t>31/05/2024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6FFE" w:rsidRPr="001223AC" w:rsidRDefault="000C6FFE" w:rsidP="000C6FFE">
            <w:pPr>
              <w:jc w:val="center"/>
              <w:rPr>
                <w:color w:val="FF0000"/>
                <w:sz w:val="20"/>
                <w:szCs w:val="20"/>
                <w:highlight w:val="yellow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C6FFE" w:rsidRPr="00427AB2" w:rsidRDefault="000C6FFE" w:rsidP="000C6FF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950E78" w:rsidRPr="00C0137B" w:rsidRDefault="00950E78" w:rsidP="002A64B2">
      <w:pPr>
        <w:rPr>
          <w:sz w:val="26"/>
        </w:rPr>
      </w:pPr>
    </w:p>
    <w:sectPr w:rsidR="00950E78" w:rsidRPr="00C0137B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0F" w:rsidRDefault="0014340F" w:rsidP="00F81D9C">
      <w:r>
        <w:separator/>
      </w:r>
    </w:p>
  </w:endnote>
  <w:endnote w:type="continuationSeparator" w:id="0">
    <w:p w:rsidR="0014340F" w:rsidRDefault="0014340F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3C1" w:rsidRPr="00AA65B7" w:rsidRDefault="00DC43C1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C2C7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DC43C1" w:rsidRPr="009715F2" w:rsidRDefault="00DC43C1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0F" w:rsidRDefault="0014340F" w:rsidP="00F81D9C">
      <w:r>
        <w:separator/>
      </w:r>
    </w:p>
  </w:footnote>
  <w:footnote w:type="continuationSeparator" w:id="0">
    <w:p w:rsidR="0014340F" w:rsidRDefault="0014340F" w:rsidP="00F81D9C">
      <w:r>
        <w:continuationSeparator/>
      </w:r>
    </w:p>
  </w:footnote>
  <w:footnote w:id="1">
    <w:p w:rsidR="00DC43C1" w:rsidRPr="00DF38D5" w:rsidRDefault="00DC43C1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dhe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DC43C1" w:rsidRPr="00DF38D5" w:rsidRDefault="00DC43C1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të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DC43C1" w:rsidRPr="00DF38D5" w:rsidRDefault="00DC43C1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të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DC43C1" w:rsidRPr="00DF38D5" w:rsidRDefault="00DC43C1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të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DC43C1" w:rsidRPr="00DF38D5" w:rsidRDefault="00DC43C1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DC43C1" w:rsidRPr="002B0B7C" w:rsidRDefault="00DC43C1" w:rsidP="00F81D9C">
      <w:pPr>
        <w:pStyle w:val="FootnoteText"/>
        <w:rPr>
          <w:rFonts w:ascii="Times New Roman" w:hAnsi="Times New Roman"/>
          <w:lang w:val="it-IT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2B0B7C">
        <w:rPr>
          <w:rFonts w:ascii="Times New Roman" w:hAnsi="Times New Roman"/>
          <w:lang w:val="it-IT"/>
        </w:rPr>
        <w:t xml:space="preserve"> Përgjigja jepet E plotë/ E kufizuar/ E refuzuar/E deleguar</w:t>
      </w:r>
    </w:p>
  </w:footnote>
  <w:footnote w:id="7">
    <w:p w:rsidR="00DC43C1" w:rsidRPr="002B0B7C" w:rsidRDefault="00DC43C1" w:rsidP="00F81D9C">
      <w:pPr>
        <w:pStyle w:val="FootnoteText"/>
        <w:rPr>
          <w:lang w:val="it-IT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2B0B7C">
        <w:rPr>
          <w:rFonts w:ascii="Times New Roman" w:hAnsi="Times New Roman"/>
          <w:lang w:val="it-IT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D6037"/>
    <w:multiLevelType w:val="hybridMultilevel"/>
    <w:tmpl w:val="10AE5FEC"/>
    <w:lvl w:ilvl="0" w:tplc="88385A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9C"/>
    <w:rsid w:val="00001DD7"/>
    <w:rsid w:val="0000429B"/>
    <w:rsid w:val="000470D2"/>
    <w:rsid w:val="000624DB"/>
    <w:rsid w:val="00076E58"/>
    <w:rsid w:val="00080771"/>
    <w:rsid w:val="00093AEF"/>
    <w:rsid w:val="000A30BE"/>
    <w:rsid w:val="000B31C6"/>
    <w:rsid w:val="000C6FFE"/>
    <w:rsid w:val="000E0F65"/>
    <w:rsid w:val="000F12EA"/>
    <w:rsid w:val="00101C4D"/>
    <w:rsid w:val="001059B6"/>
    <w:rsid w:val="001223AC"/>
    <w:rsid w:val="0014025F"/>
    <w:rsid w:val="0014340F"/>
    <w:rsid w:val="001646F0"/>
    <w:rsid w:val="00167A5A"/>
    <w:rsid w:val="001863B7"/>
    <w:rsid w:val="00195D62"/>
    <w:rsid w:val="001B7A3D"/>
    <w:rsid w:val="001D6D68"/>
    <w:rsid w:val="001D7988"/>
    <w:rsid w:val="001E21A1"/>
    <w:rsid w:val="001E7400"/>
    <w:rsid w:val="001F5BF0"/>
    <w:rsid w:val="002048CE"/>
    <w:rsid w:val="00204CA4"/>
    <w:rsid w:val="00207E75"/>
    <w:rsid w:val="00213B95"/>
    <w:rsid w:val="00252063"/>
    <w:rsid w:val="002833D5"/>
    <w:rsid w:val="002A64B2"/>
    <w:rsid w:val="002B0B7C"/>
    <w:rsid w:val="002B19D9"/>
    <w:rsid w:val="002C4C75"/>
    <w:rsid w:val="002C6120"/>
    <w:rsid w:val="003037C8"/>
    <w:rsid w:val="00307311"/>
    <w:rsid w:val="00316205"/>
    <w:rsid w:val="00324183"/>
    <w:rsid w:val="00334EA2"/>
    <w:rsid w:val="00353F48"/>
    <w:rsid w:val="00363F2E"/>
    <w:rsid w:val="00367BD2"/>
    <w:rsid w:val="003A37A3"/>
    <w:rsid w:val="003C3A21"/>
    <w:rsid w:val="003D388D"/>
    <w:rsid w:val="0041574F"/>
    <w:rsid w:val="0042349A"/>
    <w:rsid w:val="00427AB2"/>
    <w:rsid w:val="00436C92"/>
    <w:rsid w:val="00440708"/>
    <w:rsid w:val="00452038"/>
    <w:rsid w:val="00452E9B"/>
    <w:rsid w:val="0045619D"/>
    <w:rsid w:val="00492E91"/>
    <w:rsid w:val="004977DE"/>
    <w:rsid w:val="004A1964"/>
    <w:rsid w:val="004A4F59"/>
    <w:rsid w:val="004B65EC"/>
    <w:rsid w:val="004C01FC"/>
    <w:rsid w:val="004C3583"/>
    <w:rsid w:val="004E20DB"/>
    <w:rsid w:val="004E661F"/>
    <w:rsid w:val="004F0592"/>
    <w:rsid w:val="004F0B5B"/>
    <w:rsid w:val="005066FF"/>
    <w:rsid w:val="005114E4"/>
    <w:rsid w:val="00511675"/>
    <w:rsid w:val="00511D11"/>
    <w:rsid w:val="00512536"/>
    <w:rsid w:val="00523718"/>
    <w:rsid w:val="00550632"/>
    <w:rsid w:val="00554654"/>
    <w:rsid w:val="00562BE3"/>
    <w:rsid w:val="0057166D"/>
    <w:rsid w:val="005E37CA"/>
    <w:rsid w:val="005F4931"/>
    <w:rsid w:val="006002FE"/>
    <w:rsid w:val="00601760"/>
    <w:rsid w:val="00655D95"/>
    <w:rsid w:val="0066539E"/>
    <w:rsid w:val="00665C1A"/>
    <w:rsid w:val="00691184"/>
    <w:rsid w:val="006A72B8"/>
    <w:rsid w:val="006F2B56"/>
    <w:rsid w:val="007328B6"/>
    <w:rsid w:val="007350A2"/>
    <w:rsid w:val="007703A8"/>
    <w:rsid w:val="00796182"/>
    <w:rsid w:val="007A495E"/>
    <w:rsid w:val="007A4FAC"/>
    <w:rsid w:val="007B147D"/>
    <w:rsid w:val="007B2729"/>
    <w:rsid w:val="007E493B"/>
    <w:rsid w:val="008067C7"/>
    <w:rsid w:val="00810087"/>
    <w:rsid w:val="00812C17"/>
    <w:rsid w:val="00814898"/>
    <w:rsid w:val="00822F90"/>
    <w:rsid w:val="00826C31"/>
    <w:rsid w:val="0083363F"/>
    <w:rsid w:val="00833D53"/>
    <w:rsid w:val="00834A12"/>
    <w:rsid w:val="00845DA0"/>
    <w:rsid w:val="00847DF9"/>
    <w:rsid w:val="00847EF0"/>
    <w:rsid w:val="00862C9A"/>
    <w:rsid w:val="008B229E"/>
    <w:rsid w:val="008B4835"/>
    <w:rsid w:val="008B7BA9"/>
    <w:rsid w:val="008C5D64"/>
    <w:rsid w:val="008F11CB"/>
    <w:rsid w:val="00945CBA"/>
    <w:rsid w:val="00950E78"/>
    <w:rsid w:val="009648A5"/>
    <w:rsid w:val="00965495"/>
    <w:rsid w:val="00971972"/>
    <w:rsid w:val="00997547"/>
    <w:rsid w:val="009B3B63"/>
    <w:rsid w:val="009C51B4"/>
    <w:rsid w:val="009C555D"/>
    <w:rsid w:val="009D770C"/>
    <w:rsid w:val="009E52F1"/>
    <w:rsid w:val="009E556C"/>
    <w:rsid w:val="009E7868"/>
    <w:rsid w:val="00A2409F"/>
    <w:rsid w:val="00A47097"/>
    <w:rsid w:val="00A6413B"/>
    <w:rsid w:val="00A7391B"/>
    <w:rsid w:val="00A73952"/>
    <w:rsid w:val="00A762E1"/>
    <w:rsid w:val="00A83F46"/>
    <w:rsid w:val="00AA3194"/>
    <w:rsid w:val="00AB6954"/>
    <w:rsid w:val="00AC3DDF"/>
    <w:rsid w:val="00AD475A"/>
    <w:rsid w:val="00AF320A"/>
    <w:rsid w:val="00B1037A"/>
    <w:rsid w:val="00B13810"/>
    <w:rsid w:val="00B170F7"/>
    <w:rsid w:val="00B341A6"/>
    <w:rsid w:val="00B46C42"/>
    <w:rsid w:val="00B47519"/>
    <w:rsid w:val="00B51D51"/>
    <w:rsid w:val="00B6558F"/>
    <w:rsid w:val="00B87127"/>
    <w:rsid w:val="00B87C2F"/>
    <w:rsid w:val="00BA40A9"/>
    <w:rsid w:val="00BA5F66"/>
    <w:rsid w:val="00BD3613"/>
    <w:rsid w:val="00BE1E92"/>
    <w:rsid w:val="00BF7658"/>
    <w:rsid w:val="00C0137B"/>
    <w:rsid w:val="00C044E6"/>
    <w:rsid w:val="00C060DD"/>
    <w:rsid w:val="00C10045"/>
    <w:rsid w:val="00C35726"/>
    <w:rsid w:val="00C461C6"/>
    <w:rsid w:val="00C55537"/>
    <w:rsid w:val="00C7393C"/>
    <w:rsid w:val="00C75058"/>
    <w:rsid w:val="00C80BAE"/>
    <w:rsid w:val="00C96CC4"/>
    <w:rsid w:val="00CB14B6"/>
    <w:rsid w:val="00CB3771"/>
    <w:rsid w:val="00CC01AE"/>
    <w:rsid w:val="00CC5811"/>
    <w:rsid w:val="00CD12CB"/>
    <w:rsid w:val="00CD6702"/>
    <w:rsid w:val="00CE4A5A"/>
    <w:rsid w:val="00CE4AF4"/>
    <w:rsid w:val="00D0189F"/>
    <w:rsid w:val="00D3119D"/>
    <w:rsid w:val="00D33A2B"/>
    <w:rsid w:val="00D37455"/>
    <w:rsid w:val="00D402CD"/>
    <w:rsid w:val="00D40AA5"/>
    <w:rsid w:val="00D437D7"/>
    <w:rsid w:val="00D46940"/>
    <w:rsid w:val="00D73C26"/>
    <w:rsid w:val="00D87BB6"/>
    <w:rsid w:val="00D95025"/>
    <w:rsid w:val="00DB7DE7"/>
    <w:rsid w:val="00DC43C1"/>
    <w:rsid w:val="00DC5467"/>
    <w:rsid w:val="00DF6C65"/>
    <w:rsid w:val="00E002C7"/>
    <w:rsid w:val="00E047E9"/>
    <w:rsid w:val="00E101E3"/>
    <w:rsid w:val="00E109E7"/>
    <w:rsid w:val="00E10B59"/>
    <w:rsid w:val="00E420CB"/>
    <w:rsid w:val="00E533CA"/>
    <w:rsid w:val="00E6523E"/>
    <w:rsid w:val="00E713F2"/>
    <w:rsid w:val="00EF499A"/>
    <w:rsid w:val="00F00DE1"/>
    <w:rsid w:val="00F125CC"/>
    <w:rsid w:val="00F56512"/>
    <w:rsid w:val="00F74630"/>
    <w:rsid w:val="00F81D9C"/>
    <w:rsid w:val="00F8269F"/>
    <w:rsid w:val="00FA67B3"/>
    <w:rsid w:val="00FA68B8"/>
    <w:rsid w:val="00FA7E9F"/>
    <w:rsid w:val="00FB3898"/>
    <w:rsid w:val="00FB5B64"/>
    <w:rsid w:val="00FD401A"/>
    <w:rsid w:val="00FE17E9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F0EBA"/>
  <w15:docId w15:val="{8A98F668-55DF-4516-8712-1C871005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  <w:style w:type="paragraph" w:styleId="NoSpacing">
    <w:name w:val="No Spacing"/>
    <w:uiPriority w:val="1"/>
    <w:qFormat/>
    <w:rsid w:val="0014025F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7F7B-6D75-43F2-89EC-8BF77F76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Dorina Rizvanolli</cp:lastModifiedBy>
  <cp:revision>5</cp:revision>
  <cp:lastPrinted>2023-05-05T09:39:00Z</cp:lastPrinted>
  <dcterms:created xsi:type="dcterms:W3CDTF">2024-11-07T13:46:00Z</dcterms:created>
  <dcterms:modified xsi:type="dcterms:W3CDTF">2024-11-08T09:38:00Z</dcterms:modified>
</cp:coreProperties>
</file>